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1844D">
      <w:pPr>
        <w:pStyle w:val="5"/>
        <w:rPr>
          <w:rFonts w:ascii="Times New Roman" w:hAnsi="Times New Roman" w:cs="Times New Roman"/>
        </w:rPr>
      </w:pPr>
      <w:r>
        <w:rPr>
          <w:rFonts w:ascii="Times New Roman" w:hAnsi="Times New Roman" w:cs="Times New Roman"/>
        </w:rPr>
        <w:t>DJEČJI VRTIĆ MAČIĆI</w:t>
      </w:r>
    </w:p>
    <w:p w14:paraId="7929D063">
      <w:pPr>
        <w:pStyle w:val="5"/>
        <w:rPr>
          <w:rFonts w:ascii="Times New Roman" w:hAnsi="Times New Roman" w:cs="Times New Roman"/>
        </w:rPr>
      </w:pPr>
      <w:r>
        <w:rPr>
          <w:rFonts w:ascii="Times New Roman" w:hAnsi="Times New Roman" w:cs="Times New Roman"/>
        </w:rPr>
        <w:t>MAČE 84 E</w:t>
      </w:r>
    </w:p>
    <w:p w14:paraId="7FC46E17">
      <w:pPr>
        <w:pStyle w:val="5"/>
        <w:rPr>
          <w:rFonts w:ascii="Times New Roman" w:hAnsi="Times New Roman" w:cs="Times New Roman"/>
        </w:rPr>
      </w:pPr>
      <w:r>
        <w:rPr>
          <w:rFonts w:ascii="Times New Roman" w:hAnsi="Times New Roman" w:cs="Times New Roman"/>
        </w:rPr>
        <w:t xml:space="preserve">49251 Mače </w:t>
      </w:r>
    </w:p>
    <w:p w14:paraId="311DD854">
      <w:pPr>
        <w:pStyle w:val="5"/>
        <w:rPr>
          <w:rFonts w:hint="default" w:ascii="Times New Roman" w:hAnsi="Times New Roman" w:cs="Times New Roman"/>
          <w:lang w:val="hr-HR"/>
        </w:rPr>
      </w:pPr>
      <w:r>
        <w:rPr>
          <w:rFonts w:hint="default" w:ascii="Times New Roman" w:hAnsi="Times New Roman" w:cs="Times New Roman"/>
          <w:lang w:val="hr-HR"/>
        </w:rPr>
        <w:t>Upravno vijeće</w:t>
      </w:r>
    </w:p>
    <w:p w14:paraId="377D660A">
      <w:pPr>
        <w:pStyle w:val="5"/>
        <w:rPr>
          <w:rFonts w:ascii="Times New Roman" w:hAnsi="Times New Roman" w:cs="Times New Roman"/>
        </w:rPr>
      </w:pPr>
    </w:p>
    <w:p w14:paraId="3FC41508">
      <w:pPr>
        <w:pStyle w:val="5"/>
        <w:jc w:val="center"/>
        <w:rPr>
          <w:rFonts w:hint="default" w:ascii="Times New Roman" w:hAnsi="Times New Roman" w:cs="Times New Roman"/>
          <w:lang w:val="hr-HR"/>
        </w:rPr>
      </w:pPr>
      <w:r>
        <w:rPr>
          <w:rFonts w:ascii="Times New Roman" w:hAnsi="Times New Roman" w:cs="Times New Roman"/>
          <w:b/>
        </w:rPr>
        <w:t>OBRAZLOŽENJ</w:t>
      </w:r>
      <w:r>
        <w:rPr>
          <w:rFonts w:hint="default" w:ascii="Times New Roman" w:hAnsi="Times New Roman" w:cs="Times New Roman"/>
          <w:b/>
          <w:lang w:val="hr-HR"/>
        </w:rPr>
        <w:t>E</w:t>
      </w:r>
    </w:p>
    <w:p w14:paraId="4FBBC539">
      <w:pPr>
        <w:pStyle w:val="5"/>
        <w:jc w:val="center"/>
        <w:rPr>
          <w:rFonts w:ascii="Times New Roman" w:hAnsi="Times New Roman" w:cs="Times New Roman"/>
          <w:b/>
        </w:rPr>
      </w:pPr>
      <w:r>
        <w:rPr>
          <w:rFonts w:ascii="Times New Roman" w:hAnsi="Times New Roman" w:cs="Times New Roman"/>
          <w:b/>
        </w:rPr>
        <w:t xml:space="preserve">GODIŠNJEG IZVJEŠTAJA O IZVRŠENJU FINANCIJSKOG PLANA </w:t>
      </w:r>
    </w:p>
    <w:p w14:paraId="718A0774">
      <w:pPr>
        <w:pStyle w:val="5"/>
        <w:jc w:val="center"/>
        <w:rPr>
          <w:rFonts w:ascii="Times New Roman" w:hAnsi="Times New Roman" w:cs="Times New Roman"/>
          <w:b/>
        </w:rPr>
      </w:pPr>
      <w:r>
        <w:rPr>
          <w:rFonts w:ascii="Times New Roman" w:hAnsi="Times New Roman" w:cs="Times New Roman"/>
          <w:b/>
        </w:rPr>
        <w:t>DJEČJEG VRTIĆA MAČIĆI ZA 2025. GODINU</w:t>
      </w:r>
    </w:p>
    <w:p w14:paraId="574CCE9F">
      <w:pPr>
        <w:pStyle w:val="5"/>
        <w:jc w:val="center"/>
        <w:rPr>
          <w:rFonts w:ascii="Times New Roman" w:hAnsi="Times New Roman" w:cs="Times New Roman"/>
        </w:rPr>
      </w:pPr>
    </w:p>
    <w:p w14:paraId="389F8FBD">
      <w:pPr>
        <w:pStyle w:val="5"/>
        <w:jc w:val="center"/>
        <w:rPr>
          <w:rFonts w:ascii="Times New Roman" w:hAnsi="Times New Roman" w:cs="Times New Roman"/>
        </w:rPr>
      </w:pPr>
    </w:p>
    <w:p w14:paraId="09B09514">
      <w:pPr>
        <w:pStyle w:val="5"/>
        <w:numPr>
          <w:ilvl w:val="0"/>
          <w:numId w:val="1"/>
        </w:numPr>
        <w:rPr>
          <w:rFonts w:ascii="Times New Roman" w:hAnsi="Times New Roman" w:cs="Times New Roman"/>
        </w:rPr>
      </w:pPr>
      <w:r>
        <w:rPr>
          <w:rFonts w:ascii="Times New Roman" w:hAnsi="Times New Roman" w:cs="Times New Roman"/>
          <w:b/>
        </w:rPr>
        <w:t>OBRAZLOŽENJE OPĆEG DIJELA FINANCIJSKOG PLANA</w:t>
      </w:r>
    </w:p>
    <w:p w14:paraId="5653DE74">
      <w:pPr>
        <w:pStyle w:val="5"/>
        <w:rPr>
          <w:rFonts w:ascii="Times New Roman" w:hAnsi="Times New Roman" w:cs="Times New Roman"/>
        </w:rPr>
      </w:pPr>
    </w:p>
    <w:p w14:paraId="4B10396B">
      <w:pPr>
        <w:pStyle w:val="5"/>
        <w:ind w:left="708"/>
        <w:rPr>
          <w:rFonts w:ascii="Times New Roman" w:hAnsi="Times New Roman" w:cs="Times New Roman"/>
        </w:rPr>
      </w:pPr>
      <w:r>
        <w:rPr>
          <w:rFonts w:ascii="Times New Roman" w:hAnsi="Times New Roman" w:cs="Times New Roman"/>
          <w:b/>
        </w:rPr>
        <w:t>Obrazloženje ostvarenja prihoda i primitaka:</w:t>
      </w:r>
    </w:p>
    <w:p w14:paraId="2F8DEC95">
      <w:pPr>
        <w:pStyle w:val="5"/>
        <w:jc w:val="both"/>
        <w:rPr>
          <w:rFonts w:ascii="Times New Roman" w:hAnsi="Times New Roman" w:cs="Times New Roman"/>
        </w:rPr>
      </w:pPr>
      <w:r>
        <w:rPr>
          <w:rFonts w:ascii="Times New Roman" w:hAnsi="Times New Roman" w:cs="Times New Roman"/>
        </w:rPr>
        <w:t>Ukupni prihodi planirani su u iznosu  539.747,48 €, a izvršeni su u iznosu 490.368,17 €, odnosno 90,85 %.  Ukupni prihodi su u odnosu na prošlu godinu ostvareni za 29,49 % više, a to je iz razloga da bi se mogli financirati svi rashodi.</w:t>
      </w:r>
    </w:p>
    <w:p w14:paraId="72B9E385">
      <w:pPr>
        <w:pStyle w:val="5"/>
        <w:rPr>
          <w:rFonts w:ascii="Times New Roman" w:hAnsi="Times New Roman" w:cs="Times New Roman"/>
        </w:rPr>
      </w:pPr>
    </w:p>
    <w:p w14:paraId="605A6BE3">
      <w:pPr>
        <w:pStyle w:val="5"/>
        <w:jc w:val="both"/>
        <w:rPr>
          <w:rFonts w:ascii="Times New Roman" w:hAnsi="Times New Roman" w:cs="Times New Roman"/>
        </w:rPr>
      </w:pPr>
      <w:r>
        <w:rPr>
          <w:rFonts w:ascii="Times New Roman" w:hAnsi="Times New Roman" w:cs="Times New Roman"/>
          <w:u w:val="single"/>
        </w:rPr>
        <w:t>Prihodi od pomoći</w:t>
      </w:r>
      <w:r>
        <w:rPr>
          <w:rFonts w:ascii="Times New Roman" w:hAnsi="Times New Roman" w:cs="Times New Roman"/>
        </w:rPr>
        <w:t>, tj. prihodi od nenadležnih proračuna (državni proračun i proračuni drugih gradova i općina) su ostvareni sa 94,58 %. Prihod od drugih gradova i općina (Grad Zlatar i Općina Bedekovčina) je ostvaren u skladu s planom u iznosu 3.254,03 € jer su u vrtiću djeca iz tih gradova bili do srpnja 2025. g</w:t>
      </w:r>
      <w:r>
        <w:rPr>
          <w:rFonts w:hint="default" w:ascii="Times New Roman" w:hAnsi="Times New Roman" w:cs="Times New Roman"/>
          <w:lang w:val="hr-HR"/>
        </w:rPr>
        <w:t>odine</w:t>
      </w:r>
      <w:r>
        <w:rPr>
          <w:rFonts w:ascii="Times New Roman" w:hAnsi="Times New Roman" w:cs="Times New Roman"/>
        </w:rPr>
        <w:t xml:space="preserve">. Na ovoj poziciji je i prihod od </w:t>
      </w:r>
      <w:r>
        <w:rPr>
          <w:rFonts w:hint="default" w:ascii="Times New Roman" w:hAnsi="Times New Roman" w:cs="Times New Roman"/>
          <w:lang w:val="hr-HR"/>
        </w:rPr>
        <w:t>Krapinsko-zagorske ž</w:t>
      </w:r>
      <w:r>
        <w:rPr>
          <w:rFonts w:ascii="Times New Roman" w:hAnsi="Times New Roman" w:cs="Times New Roman"/>
        </w:rPr>
        <w:t xml:space="preserve">upanije </w:t>
      </w:r>
      <w:r>
        <w:rPr>
          <w:rFonts w:hint="default" w:ascii="Times New Roman" w:hAnsi="Times New Roman" w:cs="Times New Roman"/>
          <w:lang w:val="hr-HR"/>
        </w:rPr>
        <w:t xml:space="preserve">ostvaren po javnom pozivu </w:t>
      </w:r>
      <w:r>
        <w:rPr>
          <w:rFonts w:ascii="Times New Roman" w:hAnsi="Times New Roman" w:cs="Times New Roman"/>
        </w:rPr>
        <w:t xml:space="preserve">za </w:t>
      </w:r>
      <w:r>
        <w:rPr>
          <w:rFonts w:hint="default" w:ascii="Times New Roman" w:hAnsi="Times New Roman" w:cs="Times New Roman"/>
          <w:lang w:val="hr-HR"/>
        </w:rPr>
        <w:t xml:space="preserve">participativni </w:t>
      </w:r>
      <w:r>
        <w:rPr>
          <w:rFonts w:ascii="Times New Roman" w:hAnsi="Times New Roman" w:cs="Times New Roman"/>
        </w:rPr>
        <w:t>dječji proračun</w:t>
      </w:r>
      <w:r>
        <w:rPr>
          <w:rFonts w:hint="default" w:ascii="Times New Roman" w:hAnsi="Times New Roman" w:cs="Times New Roman"/>
          <w:lang w:val="hr-HR"/>
        </w:rPr>
        <w:t xml:space="preserve"> za 2025. godinu</w:t>
      </w:r>
      <w:r>
        <w:rPr>
          <w:rFonts w:ascii="Times New Roman" w:hAnsi="Times New Roman" w:cs="Times New Roman"/>
        </w:rPr>
        <w:t xml:space="preserve"> u iznosu 2.995,28 €.</w:t>
      </w:r>
    </w:p>
    <w:p w14:paraId="07E9C600">
      <w:pPr>
        <w:pStyle w:val="5"/>
        <w:rPr>
          <w:rFonts w:ascii="Times New Roman" w:hAnsi="Times New Roman" w:cs="Times New Roman"/>
        </w:rPr>
      </w:pPr>
    </w:p>
    <w:p w14:paraId="2E5D9C02">
      <w:pPr>
        <w:pStyle w:val="5"/>
        <w:jc w:val="both"/>
        <w:rPr>
          <w:rFonts w:ascii="Times New Roman" w:hAnsi="Times New Roman" w:cs="Times New Roman"/>
        </w:rPr>
      </w:pPr>
      <w:r>
        <w:rPr>
          <w:rFonts w:ascii="Times New Roman" w:hAnsi="Times New Roman" w:cs="Times New Roman"/>
          <w:u w:val="single"/>
        </w:rPr>
        <w:t>Prihodi od roditelja</w:t>
      </w:r>
      <w:r>
        <w:rPr>
          <w:rFonts w:ascii="Times New Roman" w:hAnsi="Times New Roman" w:cs="Times New Roman"/>
        </w:rPr>
        <w:t xml:space="preserve"> su ostvareni sa 101.858,57  € od planiranih 103.720,00  ili 98,21 %, što je u skladu s planom.</w:t>
      </w:r>
    </w:p>
    <w:p w14:paraId="5836C06F">
      <w:pPr>
        <w:pStyle w:val="5"/>
        <w:rPr>
          <w:rFonts w:ascii="Times New Roman" w:hAnsi="Times New Roman" w:cs="Times New Roman"/>
        </w:rPr>
      </w:pPr>
    </w:p>
    <w:p w14:paraId="478135A5">
      <w:pPr>
        <w:pStyle w:val="5"/>
        <w:jc w:val="both"/>
        <w:rPr>
          <w:rFonts w:ascii="Times New Roman" w:hAnsi="Times New Roman" w:cs="Times New Roman"/>
        </w:rPr>
      </w:pPr>
      <w:r>
        <w:rPr>
          <w:rFonts w:ascii="Times New Roman" w:hAnsi="Times New Roman" w:cs="Times New Roman"/>
        </w:rPr>
        <w:t xml:space="preserve">Planirani </w:t>
      </w:r>
      <w:r>
        <w:rPr>
          <w:rFonts w:ascii="Times New Roman" w:hAnsi="Times New Roman" w:cs="Times New Roman"/>
          <w:u w:val="single"/>
        </w:rPr>
        <w:t>prihodi od nadležnog proračuna</w:t>
      </w:r>
      <w:r>
        <w:rPr>
          <w:rFonts w:ascii="Times New Roman" w:hAnsi="Times New Roman" w:cs="Times New Roman"/>
        </w:rPr>
        <w:t xml:space="preserve"> su  428.027,48  €, a izvršeni su u iznosu 381.177,95 €, odnosno 89,05 %. Tu je ostvarenje manje od plana, a razlog je što se u planiranju mora pokriti i preneseni manjak prihoda iz prethodnog razdoblja kojeg se pokriva iz općih prihoda, tj. od osnivača. Pošto općina vrtiću doznačuje sredstva točno koliko treba za isplatu tekućih troškova, nema dovoljno za pokriće manjka, pa zato i takvo ostvarenje. U tim prihodima sadržan je i prihod temeljem prijenosa iz državnog proračuna za fiskalnu održivost vrtića u iznosu od 93.732,00 €.</w:t>
      </w:r>
    </w:p>
    <w:p w14:paraId="42F3D42E">
      <w:pPr>
        <w:pStyle w:val="5"/>
        <w:rPr>
          <w:rFonts w:ascii="Times New Roman" w:hAnsi="Times New Roman" w:cs="Times New Roman"/>
        </w:rPr>
      </w:pPr>
    </w:p>
    <w:p w14:paraId="2262F6C8">
      <w:pPr>
        <w:pStyle w:val="5"/>
        <w:rPr>
          <w:rFonts w:ascii="Times New Roman" w:hAnsi="Times New Roman" w:cs="Times New Roman"/>
        </w:rPr>
      </w:pPr>
      <w:r>
        <w:rPr>
          <w:rFonts w:ascii="Times New Roman" w:hAnsi="Times New Roman" w:cs="Times New Roman"/>
          <w:b/>
        </w:rPr>
        <w:tab/>
      </w:r>
      <w:r>
        <w:rPr>
          <w:rFonts w:ascii="Times New Roman" w:hAnsi="Times New Roman" w:cs="Times New Roman"/>
          <w:b/>
        </w:rPr>
        <w:t>Obrazloženje ostvarenja rashoda i izdataka:</w:t>
      </w:r>
    </w:p>
    <w:p w14:paraId="49A221E2">
      <w:pPr>
        <w:pStyle w:val="5"/>
        <w:jc w:val="both"/>
        <w:rPr>
          <w:rFonts w:ascii="Times New Roman" w:hAnsi="Times New Roman" w:cs="Times New Roman"/>
        </w:rPr>
      </w:pPr>
      <w:r>
        <w:rPr>
          <w:rFonts w:ascii="Times New Roman" w:hAnsi="Times New Roman" w:cs="Times New Roman"/>
        </w:rPr>
        <w:t>Ukupni rashodi ostvareni su sa 497.130,59 €, ili 97,38 %. Iz toga se zaključuje da su rashodi prilično točno planirani. U odnosu na prošlu godine to je veće za 27,64 %, a razlog je povećanje plaća te rast svih cijena ostalih rashoda.</w:t>
      </w:r>
    </w:p>
    <w:p w14:paraId="6BFAC306">
      <w:pPr>
        <w:pStyle w:val="5"/>
        <w:rPr>
          <w:rFonts w:ascii="Times New Roman" w:hAnsi="Times New Roman" w:cs="Times New Roman"/>
        </w:rPr>
      </w:pPr>
    </w:p>
    <w:p w14:paraId="0E18BAEA">
      <w:pPr>
        <w:pStyle w:val="5"/>
        <w:jc w:val="both"/>
        <w:rPr>
          <w:rFonts w:ascii="Times New Roman" w:hAnsi="Times New Roman" w:cs="Times New Roman"/>
        </w:rPr>
      </w:pPr>
      <w:r>
        <w:rPr>
          <w:rFonts w:ascii="Times New Roman" w:hAnsi="Times New Roman" w:cs="Times New Roman"/>
          <w:u w:val="single"/>
        </w:rPr>
        <w:t>Rashodi za zaposlene</w:t>
      </w:r>
      <w:r>
        <w:rPr>
          <w:rFonts w:ascii="Times New Roman" w:hAnsi="Times New Roman" w:cs="Times New Roman"/>
        </w:rPr>
        <w:t xml:space="preserve"> ostvareni su sa 97,69 % što je u skladu s planom. U odnosu na prošlu 2024. godinu to je povećanje za 34,89 %, a zbog rasta koeficijenata za obračun plaća od ožujka 2024. godine</w:t>
      </w:r>
      <w:r>
        <w:rPr>
          <w:rFonts w:hint="default" w:ascii="Times New Roman" w:hAnsi="Times New Roman" w:cs="Times New Roman"/>
          <w:lang w:val="hr-HR"/>
        </w:rPr>
        <w:t xml:space="preserve"> koji su samo djelomično usklađeni s uredbom Vlade RH</w:t>
      </w:r>
      <w:r>
        <w:rPr>
          <w:rFonts w:ascii="Times New Roman" w:hAnsi="Times New Roman" w:cs="Times New Roman"/>
        </w:rPr>
        <w:t xml:space="preserve">, pa su tako u 2024. godini na toj stavci plaće za 9 mjeseci </w:t>
      </w:r>
      <w:r>
        <w:rPr>
          <w:rFonts w:hint="default" w:ascii="Times New Roman" w:hAnsi="Times New Roman" w:cs="Times New Roman"/>
          <w:lang w:val="hr-HR"/>
        </w:rPr>
        <w:t xml:space="preserve">bile </w:t>
      </w:r>
      <w:r>
        <w:rPr>
          <w:rFonts w:ascii="Times New Roman" w:hAnsi="Times New Roman" w:cs="Times New Roman"/>
        </w:rPr>
        <w:t>po novim koeficijentima, a 2025. godine svih dvanaest plać</w:t>
      </w:r>
      <w:r>
        <w:rPr>
          <w:rFonts w:hint="default" w:ascii="Times New Roman" w:hAnsi="Times New Roman" w:cs="Times New Roman"/>
          <w:lang w:val="hr-HR"/>
        </w:rPr>
        <w:t>a isplaćeno je</w:t>
      </w:r>
      <w:r>
        <w:rPr>
          <w:rFonts w:ascii="Times New Roman" w:hAnsi="Times New Roman" w:cs="Times New Roman"/>
        </w:rPr>
        <w:t xml:space="preserve"> po novim koeficijentima, plus </w:t>
      </w:r>
      <w:r>
        <w:rPr>
          <w:rFonts w:hint="default" w:ascii="Times New Roman" w:hAnsi="Times New Roman" w:cs="Times New Roman"/>
          <w:lang w:val="hr-HR"/>
        </w:rPr>
        <w:t xml:space="preserve">redovito godišnje </w:t>
      </w:r>
      <w:r>
        <w:rPr>
          <w:rFonts w:ascii="Times New Roman" w:hAnsi="Times New Roman" w:cs="Times New Roman"/>
        </w:rPr>
        <w:t>povećanje za</w:t>
      </w:r>
      <w:r>
        <w:rPr>
          <w:rFonts w:hint="default" w:ascii="Times New Roman" w:hAnsi="Times New Roman" w:cs="Times New Roman"/>
          <w:lang w:val="hr-HR"/>
        </w:rPr>
        <w:t xml:space="preserve"> navršeni</w:t>
      </w:r>
      <w:r>
        <w:rPr>
          <w:rFonts w:ascii="Times New Roman" w:hAnsi="Times New Roman" w:cs="Times New Roman"/>
        </w:rPr>
        <w:t xml:space="preserve"> staž i povećanje osnovice za</w:t>
      </w:r>
      <w:r>
        <w:rPr>
          <w:rFonts w:hint="default" w:ascii="Times New Roman" w:hAnsi="Times New Roman" w:cs="Times New Roman"/>
          <w:lang w:val="hr-HR"/>
        </w:rPr>
        <w:t xml:space="preserve"> obračun</w:t>
      </w:r>
      <w:r>
        <w:rPr>
          <w:rFonts w:ascii="Times New Roman" w:hAnsi="Times New Roman" w:cs="Times New Roman"/>
        </w:rPr>
        <w:t xml:space="preserve"> plaće za 3 % od 01.02.2025. godine te </w:t>
      </w:r>
      <w:r>
        <w:rPr>
          <w:rFonts w:hint="default" w:ascii="Times New Roman" w:hAnsi="Times New Roman" w:cs="Times New Roman"/>
          <w:lang w:val="hr-HR"/>
        </w:rPr>
        <w:t xml:space="preserve">za </w:t>
      </w:r>
      <w:r>
        <w:rPr>
          <w:rFonts w:ascii="Times New Roman" w:hAnsi="Times New Roman" w:cs="Times New Roman"/>
        </w:rPr>
        <w:t>3 % od 01.09.2025. godine.</w:t>
      </w:r>
    </w:p>
    <w:p w14:paraId="65C74EB0">
      <w:pPr>
        <w:pStyle w:val="5"/>
        <w:rPr>
          <w:rFonts w:ascii="Times New Roman" w:hAnsi="Times New Roman" w:cs="Times New Roman"/>
        </w:rPr>
      </w:pPr>
    </w:p>
    <w:p w14:paraId="1019FB9C">
      <w:pPr>
        <w:pStyle w:val="5"/>
        <w:jc w:val="both"/>
        <w:rPr>
          <w:rFonts w:ascii="Times New Roman" w:hAnsi="Times New Roman" w:cs="Times New Roman"/>
        </w:rPr>
      </w:pPr>
      <w:r>
        <w:rPr>
          <w:rFonts w:ascii="Times New Roman" w:hAnsi="Times New Roman" w:cs="Times New Roman"/>
          <w:u w:val="single"/>
        </w:rPr>
        <w:t>Rashodi za materijal i energiju</w:t>
      </w:r>
      <w:r>
        <w:rPr>
          <w:rFonts w:ascii="Times New Roman" w:hAnsi="Times New Roman" w:cs="Times New Roman"/>
        </w:rPr>
        <w:t xml:space="preserve"> su ostvareni sa 97,26 % od plana. Iznad plana su ostvareni rashodi za  materijal i sirovine (kuhinja) iz razloga općeg rasta cijena svih materijala pa je teško točno planirati. Nešto ispod plana ostvareni su rashodi za energiju – 89,40 %, a to iz razloga što je u veljači 2024. g. mijenjan dobavljač plina koji je račune za razdoblje veljača- studeni dostavio tek krajem 2024. godine nakon što je financijski plan za 2025. bio već napravljen, pa je bilo teško isplanirati taj trošak.</w:t>
      </w:r>
    </w:p>
    <w:p w14:paraId="4FD636EF">
      <w:pPr>
        <w:pStyle w:val="5"/>
        <w:rPr>
          <w:rFonts w:ascii="Times New Roman" w:hAnsi="Times New Roman" w:cs="Times New Roman"/>
        </w:rPr>
      </w:pPr>
    </w:p>
    <w:p w14:paraId="5526E788">
      <w:pPr>
        <w:pStyle w:val="5"/>
        <w:jc w:val="both"/>
        <w:rPr>
          <w:rFonts w:ascii="Times New Roman" w:hAnsi="Times New Roman" w:cs="Times New Roman"/>
        </w:rPr>
      </w:pPr>
      <w:r>
        <w:rPr>
          <w:rFonts w:ascii="Times New Roman" w:hAnsi="Times New Roman" w:cs="Times New Roman"/>
          <w:u w:val="single"/>
        </w:rPr>
        <w:t>Rashodi za usluge</w:t>
      </w:r>
      <w:r>
        <w:rPr>
          <w:rFonts w:ascii="Times New Roman" w:hAnsi="Times New Roman" w:cs="Times New Roman"/>
        </w:rPr>
        <w:t xml:space="preserve"> ostvareni su sa 96,77 % što je u skladu s planom. U odnosu na 2024. godinu ti rashodi su porasli za 19,93 %. Najviše su porasli rashodi za komunalne usluge i to za odvoz smeća za što su računi porasli sa 42,30 € u 2024. g</w:t>
      </w:r>
      <w:r>
        <w:rPr>
          <w:rFonts w:hint="default" w:ascii="Times New Roman" w:hAnsi="Times New Roman" w:cs="Times New Roman"/>
          <w:lang w:val="hr-HR"/>
        </w:rPr>
        <w:t>odini</w:t>
      </w:r>
      <w:r>
        <w:rPr>
          <w:rFonts w:ascii="Times New Roman" w:hAnsi="Times New Roman" w:cs="Times New Roman"/>
        </w:rPr>
        <w:t xml:space="preserve"> na 115,00 € u 2025. godini zbog nabavke velikog kontejnera za smeće</w:t>
      </w:r>
      <w:r>
        <w:rPr>
          <w:rFonts w:hint="default" w:ascii="Times New Roman" w:hAnsi="Times New Roman" w:cs="Times New Roman"/>
          <w:lang w:val="hr-HR"/>
        </w:rPr>
        <w:t xml:space="preserve"> od 1.100,00 litara jer je uvedena još jedna jaslička skupina te je postojeći kontejner od 240,00 l bio nedostatan u odnosu na potrebe</w:t>
      </w:r>
      <w:r>
        <w:rPr>
          <w:rFonts w:ascii="Times New Roman" w:hAnsi="Times New Roman" w:cs="Times New Roman"/>
        </w:rPr>
        <w:t>. Također računi za vodu porasli</w:t>
      </w:r>
      <w:r>
        <w:rPr>
          <w:rFonts w:hint="default" w:ascii="Times New Roman" w:hAnsi="Times New Roman" w:cs="Times New Roman"/>
          <w:lang w:val="hr-HR"/>
        </w:rPr>
        <w:t xml:space="preserve"> su</w:t>
      </w:r>
      <w:r>
        <w:rPr>
          <w:rFonts w:ascii="Times New Roman" w:hAnsi="Times New Roman" w:cs="Times New Roman"/>
        </w:rPr>
        <w:t xml:space="preserve"> prosječno za 14,60 %.</w:t>
      </w:r>
    </w:p>
    <w:p w14:paraId="4D817A5A">
      <w:pPr>
        <w:pStyle w:val="5"/>
        <w:jc w:val="both"/>
        <w:rPr>
          <w:rFonts w:ascii="Times New Roman" w:hAnsi="Times New Roman" w:cs="Times New Roman"/>
        </w:rPr>
      </w:pPr>
      <w:r>
        <w:rPr>
          <w:rFonts w:ascii="Times New Roman" w:hAnsi="Times New Roman" w:cs="Times New Roman"/>
        </w:rPr>
        <w:t>Porasli su i rashodi za intelektualne usluge (28,06 %) i to za vođenje knjigovodstva za što je račun sa 500,00 € u 2024. godini porastao na 650,00 € mjesečno u 2025. godini.</w:t>
      </w:r>
    </w:p>
    <w:p w14:paraId="50B4B358">
      <w:pPr>
        <w:pStyle w:val="5"/>
        <w:jc w:val="both"/>
        <w:rPr>
          <w:rFonts w:ascii="Times New Roman" w:hAnsi="Times New Roman" w:cs="Times New Roman"/>
        </w:rPr>
      </w:pPr>
    </w:p>
    <w:p w14:paraId="529C4993">
      <w:pPr>
        <w:pStyle w:val="5"/>
        <w:jc w:val="both"/>
        <w:rPr>
          <w:rFonts w:ascii="Times New Roman" w:hAnsi="Times New Roman" w:cs="Times New Roman"/>
        </w:rPr>
      </w:pPr>
      <w:r>
        <w:rPr>
          <w:rFonts w:ascii="Times New Roman" w:hAnsi="Times New Roman" w:cs="Times New Roman"/>
          <w:u w:val="single"/>
        </w:rPr>
        <w:t>Ostali nespomenuti rashodi poslovanja</w:t>
      </w:r>
      <w:r>
        <w:rPr>
          <w:rFonts w:ascii="Times New Roman" w:hAnsi="Times New Roman" w:cs="Times New Roman"/>
        </w:rPr>
        <w:t xml:space="preserve"> ostvareni su malo iznad plana, tj. 103,26 %. Najveća stavka u tome su premije osiguranje –izvršenje 108,23 % i ostali nespomenuti rashodi poslovanja sa 117,62 %. Sve skupa se radi o 91,00 €.</w:t>
      </w:r>
    </w:p>
    <w:p w14:paraId="50BF6D6F">
      <w:pPr>
        <w:pStyle w:val="5"/>
        <w:rPr>
          <w:rFonts w:ascii="Times New Roman" w:hAnsi="Times New Roman" w:cs="Times New Roman"/>
        </w:rPr>
      </w:pPr>
    </w:p>
    <w:p w14:paraId="3D118B1C">
      <w:pPr>
        <w:pStyle w:val="5"/>
        <w:rPr>
          <w:rFonts w:ascii="Times New Roman" w:hAnsi="Times New Roman" w:cs="Times New Roman"/>
          <w:b/>
        </w:rPr>
      </w:pPr>
      <w:r>
        <w:rPr>
          <w:rFonts w:ascii="Times New Roman" w:hAnsi="Times New Roman" w:cs="Times New Roman"/>
          <w:b/>
        </w:rPr>
        <w:t>STANJE NOVČANIH SREDSTAVA:</w:t>
      </w:r>
    </w:p>
    <w:p w14:paraId="395FE974">
      <w:pPr>
        <w:pStyle w:val="5"/>
        <w:rPr>
          <w:rFonts w:ascii="Times New Roman" w:hAnsi="Times New Roman" w:cs="Times New Roman"/>
        </w:rPr>
      </w:pPr>
      <w:r>
        <w:rPr>
          <w:rFonts w:ascii="Times New Roman" w:hAnsi="Times New Roman" w:cs="Times New Roman"/>
        </w:rPr>
        <w:t>Stanje na dan 01.01.2025.: 2.436,19 €</w:t>
      </w:r>
    </w:p>
    <w:p w14:paraId="65128E02">
      <w:pPr>
        <w:pStyle w:val="5"/>
        <w:rPr>
          <w:rFonts w:ascii="Times New Roman" w:hAnsi="Times New Roman" w:cs="Times New Roman"/>
        </w:rPr>
      </w:pPr>
      <w:r>
        <w:rPr>
          <w:rFonts w:ascii="Times New Roman" w:hAnsi="Times New Roman" w:cs="Times New Roman"/>
        </w:rPr>
        <w:t>Stanje na dan 31.12.2025.: 2.098,24 €</w:t>
      </w:r>
      <w:r>
        <w:rPr>
          <w:rFonts w:ascii="Times New Roman" w:hAnsi="Times New Roman" w:cs="Times New Roman"/>
        </w:rPr>
        <w:tab/>
      </w:r>
    </w:p>
    <w:p w14:paraId="634274DB">
      <w:pPr>
        <w:pStyle w:val="5"/>
        <w:rPr>
          <w:rFonts w:ascii="Times New Roman" w:hAnsi="Times New Roman" w:cs="Times New Roman"/>
        </w:rPr>
      </w:pPr>
    </w:p>
    <w:p w14:paraId="4D67A7E8">
      <w:pPr>
        <w:pStyle w:val="5"/>
        <w:rPr>
          <w:rFonts w:ascii="Times New Roman" w:hAnsi="Times New Roman" w:cs="Times New Roman"/>
        </w:rPr>
      </w:pPr>
      <w:r>
        <w:rPr>
          <w:rFonts w:ascii="Times New Roman" w:hAnsi="Times New Roman" w:cs="Times New Roman"/>
          <w:b/>
        </w:rPr>
        <w:t>Obrazloženje prenesenog manjka odnosno viška financijskog plana:</w:t>
      </w:r>
    </w:p>
    <w:p w14:paraId="1CA14F0B">
      <w:pPr>
        <w:pStyle w:val="5"/>
        <w:rPr>
          <w:rFonts w:ascii="Times New Roman" w:hAnsi="Times New Roman" w:cs="Times New Roman"/>
        </w:rPr>
      </w:pPr>
      <w:r>
        <w:rPr>
          <w:rFonts w:ascii="Times New Roman" w:hAnsi="Times New Roman" w:cs="Times New Roman"/>
        </w:rPr>
        <w:t>Preneseni manjak iz prethodne godine iznosi 29.227,48 €.</w:t>
      </w:r>
    </w:p>
    <w:p w14:paraId="736211B7">
      <w:pPr>
        <w:pStyle w:val="5"/>
        <w:rPr>
          <w:rFonts w:ascii="Times New Roman" w:hAnsi="Times New Roman" w:cs="Times New Roman"/>
        </w:rPr>
      </w:pPr>
      <w:r>
        <w:rPr>
          <w:rFonts w:ascii="Times New Roman" w:hAnsi="Times New Roman" w:cs="Times New Roman"/>
        </w:rPr>
        <w:t>Za razdoblje 1-12</w:t>
      </w:r>
      <w:r>
        <w:rPr>
          <w:rFonts w:hint="default" w:ascii="Times New Roman" w:hAnsi="Times New Roman" w:cs="Times New Roman"/>
          <w:lang w:val="hr-HR"/>
        </w:rPr>
        <w:t xml:space="preserve"> mjesec </w:t>
      </w:r>
      <w:r>
        <w:rPr>
          <w:rFonts w:ascii="Times New Roman" w:hAnsi="Times New Roman" w:cs="Times New Roman"/>
        </w:rPr>
        <w:t>2025</w:t>
      </w:r>
      <w:r>
        <w:rPr>
          <w:rFonts w:hint="default" w:ascii="Times New Roman" w:hAnsi="Times New Roman" w:cs="Times New Roman"/>
          <w:lang w:val="hr-HR"/>
        </w:rPr>
        <w:t>.</w:t>
      </w:r>
      <w:r>
        <w:rPr>
          <w:rFonts w:ascii="Times New Roman" w:hAnsi="Times New Roman" w:cs="Times New Roman"/>
        </w:rPr>
        <w:t xml:space="preserve"> godin</w:t>
      </w:r>
      <w:r>
        <w:rPr>
          <w:rFonts w:hint="default" w:ascii="Times New Roman" w:hAnsi="Times New Roman" w:cs="Times New Roman"/>
          <w:lang w:val="hr-HR"/>
        </w:rPr>
        <w:t>e</w:t>
      </w:r>
      <w:r>
        <w:rPr>
          <w:rFonts w:ascii="Times New Roman" w:hAnsi="Times New Roman" w:cs="Times New Roman"/>
        </w:rPr>
        <w:t xml:space="preserve"> ostvaren je manjak od 6.762,42 €. </w:t>
      </w:r>
    </w:p>
    <w:p w14:paraId="144E8694">
      <w:pPr>
        <w:pStyle w:val="5"/>
        <w:rPr>
          <w:rFonts w:ascii="Times New Roman" w:hAnsi="Times New Roman" w:cs="Times New Roman"/>
        </w:rPr>
      </w:pPr>
      <w:r>
        <w:rPr>
          <w:rFonts w:ascii="Times New Roman" w:hAnsi="Times New Roman" w:cs="Times New Roman"/>
        </w:rPr>
        <w:t>Ukupni manjak za prijenos u sljedeću godinu iznosi 35.989,90 €.</w:t>
      </w:r>
    </w:p>
    <w:p w14:paraId="238DA13A">
      <w:pPr>
        <w:pStyle w:val="5"/>
        <w:jc w:val="both"/>
        <w:rPr>
          <w:rFonts w:ascii="Times New Roman" w:hAnsi="Times New Roman" w:cs="Times New Roman"/>
        </w:rPr>
      </w:pPr>
      <w:r>
        <w:rPr>
          <w:rFonts w:ascii="Times New Roman" w:hAnsi="Times New Roman" w:cs="Times New Roman"/>
        </w:rPr>
        <w:t>Do manjka prošle godine došlo je zbog činjenice da se rashodi proračuna vode prema načelu primljenih računa i obračuna, tako da je u rashode uključena plaća za 12/2025</w:t>
      </w:r>
      <w:r>
        <w:rPr>
          <w:rFonts w:hint="default" w:ascii="Times New Roman" w:hAnsi="Times New Roman" w:cs="Times New Roman"/>
          <w:lang w:val="hr-HR"/>
        </w:rPr>
        <w:t>.</w:t>
      </w:r>
      <w:r>
        <w:rPr>
          <w:rFonts w:ascii="Times New Roman" w:hAnsi="Times New Roman" w:cs="Times New Roman"/>
        </w:rPr>
        <w:t xml:space="preserve"> i  računi do 31.12.2025. </w:t>
      </w:r>
      <w:r>
        <w:rPr>
          <w:rFonts w:hint="default" w:ascii="Times New Roman" w:hAnsi="Times New Roman" w:cs="Times New Roman"/>
          <w:lang w:val="hr-HR"/>
        </w:rPr>
        <w:t>godine</w:t>
      </w:r>
      <w:r>
        <w:rPr>
          <w:rFonts w:ascii="Times New Roman" w:hAnsi="Times New Roman" w:cs="Times New Roman"/>
        </w:rPr>
        <w:t>, a prihodi se evidentiraju tek kada su naplaćeni tj. vode se prema načelu blagajne. Općina je za plaće</w:t>
      </w:r>
      <w:r>
        <w:rPr>
          <w:rFonts w:hint="default" w:ascii="Times New Roman" w:hAnsi="Times New Roman" w:cs="Times New Roman"/>
          <w:lang w:val="hr-HR"/>
        </w:rPr>
        <w:t xml:space="preserve"> za </w:t>
      </w:r>
      <w:r>
        <w:rPr>
          <w:rFonts w:ascii="Times New Roman" w:hAnsi="Times New Roman" w:cs="Times New Roman"/>
        </w:rPr>
        <w:t>12/</w:t>
      </w:r>
      <w:r>
        <w:rPr>
          <w:rFonts w:hint="default" w:ascii="Times New Roman" w:hAnsi="Times New Roman" w:cs="Times New Roman"/>
          <w:lang w:val="hr-HR"/>
        </w:rPr>
        <w:t>20</w:t>
      </w:r>
      <w:r>
        <w:rPr>
          <w:rFonts w:ascii="Times New Roman" w:hAnsi="Times New Roman" w:cs="Times New Roman"/>
        </w:rPr>
        <w:t>25</w:t>
      </w:r>
      <w:r>
        <w:rPr>
          <w:rFonts w:hint="default" w:ascii="Times New Roman" w:hAnsi="Times New Roman" w:cs="Times New Roman"/>
          <w:lang w:val="hr-HR"/>
        </w:rPr>
        <w:t>.</w:t>
      </w:r>
      <w:r>
        <w:rPr>
          <w:rFonts w:ascii="Times New Roman" w:hAnsi="Times New Roman" w:cs="Times New Roman"/>
        </w:rPr>
        <w:t xml:space="preserve"> i </w:t>
      </w:r>
      <w:r>
        <w:rPr>
          <w:rFonts w:hint="default" w:ascii="Times New Roman" w:hAnsi="Times New Roman" w:cs="Times New Roman"/>
          <w:lang w:val="hr-HR"/>
        </w:rPr>
        <w:t>ostale</w:t>
      </w:r>
      <w:r>
        <w:rPr>
          <w:rFonts w:ascii="Times New Roman" w:hAnsi="Times New Roman" w:cs="Times New Roman"/>
        </w:rPr>
        <w:t xml:space="preserve"> troškove doznačila sredstva u siječnju 2026. godine.</w:t>
      </w:r>
    </w:p>
    <w:p w14:paraId="0B6EF029">
      <w:pPr>
        <w:pStyle w:val="5"/>
        <w:rPr>
          <w:rFonts w:ascii="Times New Roman" w:hAnsi="Times New Roman" w:cs="Times New Roman"/>
        </w:rPr>
      </w:pPr>
    </w:p>
    <w:p w14:paraId="3AEE0F45">
      <w:pPr>
        <w:pStyle w:val="5"/>
        <w:rPr>
          <w:rFonts w:ascii="Times New Roman" w:hAnsi="Times New Roman" w:cs="Times New Roman"/>
        </w:rPr>
      </w:pPr>
    </w:p>
    <w:p w14:paraId="29121AE0">
      <w:pPr>
        <w:pStyle w:val="5"/>
        <w:numPr>
          <w:ilvl w:val="0"/>
          <w:numId w:val="1"/>
        </w:numPr>
        <w:rPr>
          <w:rFonts w:ascii="Times New Roman" w:hAnsi="Times New Roman" w:cs="Times New Roman"/>
        </w:rPr>
      </w:pPr>
      <w:r>
        <w:rPr>
          <w:rFonts w:ascii="Times New Roman" w:hAnsi="Times New Roman" w:cs="Times New Roman"/>
          <w:b/>
        </w:rPr>
        <w:t>OBRAZLOŽENJE POSEBNOG DIJELA FINANCIJSKOG PLANA:</w:t>
      </w:r>
    </w:p>
    <w:p w14:paraId="5F732D09">
      <w:pPr>
        <w:pStyle w:val="5"/>
        <w:jc w:val="both"/>
        <w:rPr>
          <w:rFonts w:ascii="Times New Roman" w:hAnsi="Times New Roman" w:cs="Times New Roman"/>
        </w:rPr>
      </w:pPr>
      <w:r>
        <w:rPr>
          <w:rFonts w:ascii="Times New Roman" w:hAnsi="Times New Roman" w:cs="Times New Roman"/>
        </w:rPr>
        <w:t>Što se tiče posebnog dijela financijskog plana, to je izvršeno u skladu s planom, tj. sa 97,38 %. Od postavljenih ciljeva izvršen je cilj popunjavanja kapaciteta vrtića po broju upisane djece. Cilj Dječjeg vrtića  je provoditi redoviti desetosatni program njege, odgoja, obrazovanja, zdravstvene zaštite, prehrane i socijalne skrbi djece rane i predškolske dobi koji je prilagođen razvojnim potrebama djece te njihovim mogućnostima i potrebama.</w:t>
      </w:r>
    </w:p>
    <w:p w14:paraId="609399E5">
      <w:pPr>
        <w:pStyle w:val="4"/>
        <w:jc w:val="both"/>
        <w:rPr>
          <w:rFonts w:ascii="Times New Roman" w:hAnsi="Times New Roman" w:cs="Times New Roman"/>
        </w:rPr>
      </w:pPr>
      <w:r>
        <w:rPr>
          <w:rFonts w:ascii="Times New Roman" w:hAnsi="Times New Roman" w:cs="Times New Roman"/>
        </w:rPr>
        <w:t>Kako bi ustanova kvalitetno provodila program važno je da u njoj rade kompetentni odgojno-obrazovni djelatnici, odgovarajućeg obrazovanja s kontinuiranim profesionalnim razvojem. Kvaliteta i napredovanje dolaze</w:t>
      </w:r>
      <w:r>
        <w:rPr>
          <w:rFonts w:hint="default" w:ascii="Times New Roman" w:hAnsi="Times New Roman" w:cs="Times New Roman"/>
          <w:lang w:val="hr-HR"/>
        </w:rPr>
        <w:t xml:space="preserve"> s</w:t>
      </w:r>
      <w:r>
        <w:rPr>
          <w:rFonts w:ascii="Times New Roman" w:hAnsi="Times New Roman" w:cs="Times New Roman"/>
        </w:rPr>
        <w:t xml:space="preserve"> intrinzičnom motivacijom za što će podršku dobiti osiguranjem primjerenog profesionalnog učenja. I taj cilj je postignut tj. vrtić je u</w:t>
      </w:r>
      <w:r>
        <w:rPr>
          <w:rFonts w:hint="default" w:ascii="Times New Roman" w:hAnsi="Times New Roman" w:cs="Times New Roman"/>
          <w:lang w:val="hr-HR"/>
        </w:rPr>
        <w:t xml:space="preserve"> 2025. godini bio</w:t>
      </w:r>
      <w:r>
        <w:rPr>
          <w:rFonts w:ascii="Times New Roman" w:hAnsi="Times New Roman" w:cs="Times New Roman"/>
        </w:rPr>
        <w:t xml:space="preserve"> </w:t>
      </w:r>
      <w:r>
        <w:rPr>
          <w:rFonts w:hint="default" w:ascii="Times New Roman" w:hAnsi="Times New Roman" w:cs="Times New Roman"/>
          <w:color w:val="auto"/>
          <w:lang w:val="hr-HR"/>
        </w:rPr>
        <w:t xml:space="preserve">gotovo </w:t>
      </w:r>
      <w:r>
        <w:rPr>
          <w:rFonts w:hint="default" w:ascii="Times New Roman" w:hAnsi="Times New Roman" w:cs="Times New Roman"/>
          <w:lang w:val="hr-HR"/>
        </w:rPr>
        <w:t xml:space="preserve">u </w:t>
      </w:r>
      <w:r>
        <w:rPr>
          <w:rFonts w:ascii="Times New Roman" w:hAnsi="Times New Roman" w:cs="Times New Roman"/>
        </w:rPr>
        <w:t xml:space="preserve">potpunosti ekipiran stručnim kadrom. </w:t>
      </w:r>
      <w:r>
        <w:rPr>
          <w:rFonts w:ascii="Times New Roman" w:hAnsi="Times New Roman" w:cs="Times New Roman"/>
          <w:color w:val="auto"/>
        </w:rPr>
        <w:t xml:space="preserve">Zaposlene su </w:t>
      </w:r>
      <w:r>
        <w:rPr>
          <w:rFonts w:hint="default" w:ascii="Times New Roman" w:hAnsi="Times New Roman" w:cs="Times New Roman"/>
          <w:color w:val="auto"/>
          <w:lang w:val="hr-HR"/>
        </w:rPr>
        <w:t xml:space="preserve">bile </w:t>
      </w:r>
      <w:r>
        <w:rPr>
          <w:rFonts w:ascii="Times New Roman" w:hAnsi="Times New Roman" w:cs="Times New Roman"/>
          <w:color w:val="auto"/>
        </w:rPr>
        <w:t xml:space="preserve">samo dvije nestručne osobe zbog toga što se na natječaj nije javila stručna osoba. </w:t>
      </w:r>
    </w:p>
    <w:p w14:paraId="1983C80D">
      <w:pPr>
        <w:pStyle w:val="5"/>
        <w:rPr>
          <w:rFonts w:ascii="Times New Roman" w:hAnsi="Times New Roman" w:cs="Times New Roman"/>
        </w:rPr>
      </w:pPr>
    </w:p>
    <w:p w14:paraId="6F9E56BD">
      <w:pPr>
        <w:pStyle w:val="5"/>
        <w:rPr>
          <w:rFonts w:ascii="Times New Roman" w:hAnsi="Times New Roman" w:cs="Times New Roman"/>
        </w:rPr>
      </w:pPr>
    </w:p>
    <w:p w14:paraId="4B43C174">
      <w:pPr>
        <w:pStyle w:val="5"/>
        <w:numPr>
          <w:ilvl w:val="0"/>
          <w:numId w:val="1"/>
        </w:numPr>
        <w:rPr>
          <w:rFonts w:ascii="Times New Roman" w:hAnsi="Times New Roman" w:cs="Times New Roman"/>
        </w:rPr>
      </w:pPr>
      <w:r>
        <w:rPr>
          <w:rFonts w:ascii="Times New Roman" w:hAnsi="Times New Roman" w:cs="Times New Roman"/>
          <w:b/>
        </w:rPr>
        <w:t xml:space="preserve">POSEBNI IZVJEŠTAJ </w:t>
      </w:r>
    </w:p>
    <w:p w14:paraId="0D889367">
      <w:pPr>
        <w:pStyle w:val="5"/>
        <w:numPr>
          <w:ilvl w:val="0"/>
          <w:numId w:val="2"/>
        </w:numPr>
        <w:rPr>
          <w:rFonts w:ascii="Times New Roman" w:hAnsi="Times New Roman" w:cs="Times New Roman"/>
        </w:rPr>
      </w:pPr>
      <w:r>
        <w:rPr>
          <w:rFonts w:ascii="Times New Roman" w:hAnsi="Times New Roman" w:cs="Times New Roman"/>
        </w:rPr>
        <w:t>Izvještaj o korištenju sredstava fondova Europske unije</w:t>
      </w:r>
    </w:p>
    <w:p w14:paraId="4B8B998E">
      <w:pPr>
        <w:pStyle w:val="5"/>
        <w:rPr>
          <w:rFonts w:ascii="Times New Roman" w:hAnsi="Times New Roman" w:cs="Times New Roman"/>
        </w:rPr>
      </w:pPr>
      <w:r>
        <w:rPr>
          <w:rFonts w:ascii="Times New Roman" w:hAnsi="Times New Roman" w:cs="Times New Roman"/>
        </w:rPr>
        <w:t>Vrtić nije bio korisnik sredstava fondova Europske unije u razdoblju 1-12/2025. godin</w:t>
      </w:r>
      <w:r>
        <w:rPr>
          <w:rFonts w:hint="default" w:ascii="Times New Roman" w:hAnsi="Times New Roman" w:cs="Times New Roman"/>
          <w:lang w:val="hr-HR"/>
        </w:rPr>
        <w:t>e</w:t>
      </w:r>
      <w:r>
        <w:rPr>
          <w:rFonts w:ascii="Times New Roman" w:hAnsi="Times New Roman" w:cs="Times New Roman"/>
        </w:rPr>
        <w:t>.</w:t>
      </w:r>
    </w:p>
    <w:p w14:paraId="458EB856">
      <w:pPr>
        <w:pStyle w:val="5"/>
        <w:rPr>
          <w:rFonts w:ascii="Times New Roman" w:hAnsi="Times New Roman" w:cs="Times New Roman"/>
        </w:rPr>
      </w:pPr>
    </w:p>
    <w:p w14:paraId="07E83D9B">
      <w:pPr>
        <w:pStyle w:val="5"/>
        <w:numPr>
          <w:ilvl w:val="0"/>
          <w:numId w:val="2"/>
        </w:numPr>
        <w:rPr>
          <w:rFonts w:ascii="Times New Roman" w:hAnsi="Times New Roman" w:cs="Times New Roman"/>
        </w:rPr>
      </w:pPr>
      <w:r>
        <w:rPr>
          <w:rFonts w:ascii="Times New Roman" w:hAnsi="Times New Roman" w:cs="Times New Roman"/>
        </w:rPr>
        <w:t>Izvještaj o zaduživanju na domaćem i stranom tržištu novca i kapitala</w:t>
      </w:r>
    </w:p>
    <w:p w14:paraId="739025D8">
      <w:pPr>
        <w:pStyle w:val="5"/>
        <w:rPr>
          <w:rFonts w:ascii="Times New Roman" w:hAnsi="Times New Roman" w:cs="Times New Roman"/>
        </w:rPr>
      </w:pPr>
      <w:r>
        <w:rPr>
          <w:rFonts w:ascii="Times New Roman" w:hAnsi="Times New Roman" w:cs="Times New Roman"/>
        </w:rPr>
        <w:t>Vrtić se nije zaduživao na domaćem i stranom tržištu novca i kapitala u razdoblju 1-12/2025. godin</w:t>
      </w:r>
      <w:r>
        <w:rPr>
          <w:rFonts w:hint="default" w:ascii="Times New Roman" w:hAnsi="Times New Roman" w:cs="Times New Roman"/>
          <w:lang w:val="hr-HR"/>
        </w:rPr>
        <w:t>e</w:t>
      </w:r>
      <w:r>
        <w:rPr>
          <w:rFonts w:ascii="Times New Roman" w:hAnsi="Times New Roman" w:cs="Times New Roman"/>
        </w:rPr>
        <w:t>.</w:t>
      </w:r>
    </w:p>
    <w:p w14:paraId="7C08B4B2">
      <w:pPr>
        <w:pStyle w:val="5"/>
        <w:rPr>
          <w:rFonts w:ascii="Times New Roman" w:hAnsi="Times New Roman" w:cs="Times New Roman"/>
        </w:rPr>
      </w:pPr>
    </w:p>
    <w:p w14:paraId="74638E3A">
      <w:pPr>
        <w:pStyle w:val="5"/>
        <w:numPr>
          <w:ilvl w:val="0"/>
          <w:numId w:val="2"/>
        </w:numPr>
        <w:rPr>
          <w:rFonts w:ascii="Times New Roman" w:hAnsi="Times New Roman" w:cs="Times New Roman"/>
        </w:rPr>
      </w:pPr>
      <w:r>
        <w:rPr>
          <w:rFonts w:ascii="Times New Roman" w:hAnsi="Times New Roman" w:cs="Times New Roman"/>
        </w:rPr>
        <w:t>Izvještaj o danim zajmovima i potraživanja po danim zajmovima</w:t>
      </w:r>
    </w:p>
    <w:p w14:paraId="2A542ACD">
      <w:pPr>
        <w:pStyle w:val="5"/>
        <w:rPr>
          <w:rFonts w:ascii="Times New Roman" w:hAnsi="Times New Roman" w:cs="Times New Roman"/>
        </w:rPr>
      </w:pPr>
      <w:r>
        <w:rPr>
          <w:rFonts w:ascii="Times New Roman" w:hAnsi="Times New Roman" w:cs="Times New Roman"/>
        </w:rPr>
        <w:t>Vrtić nije davao zajmove i nema potraživanja po danim zajmovima u razdoblju 1-12/202</w:t>
      </w:r>
      <w:r>
        <w:rPr>
          <w:rFonts w:hint="default" w:ascii="Times New Roman" w:hAnsi="Times New Roman" w:cs="Times New Roman"/>
          <w:lang w:val="hr-HR"/>
        </w:rPr>
        <w:t>5</w:t>
      </w:r>
      <w:r>
        <w:rPr>
          <w:rFonts w:ascii="Times New Roman" w:hAnsi="Times New Roman" w:cs="Times New Roman"/>
        </w:rPr>
        <w:t>. godin</w:t>
      </w:r>
      <w:r>
        <w:rPr>
          <w:rFonts w:hint="default" w:ascii="Times New Roman" w:hAnsi="Times New Roman" w:cs="Times New Roman"/>
          <w:lang w:val="hr-HR"/>
        </w:rPr>
        <w:t>e</w:t>
      </w:r>
      <w:r>
        <w:rPr>
          <w:rFonts w:ascii="Times New Roman" w:hAnsi="Times New Roman" w:cs="Times New Roman"/>
        </w:rPr>
        <w:t>.</w:t>
      </w:r>
    </w:p>
    <w:p w14:paraId="79FACB51">
      <w:pPr>
        <w:pStyle w:val="5"/>
        <w:rPr>
          <w:rFonts w:ascii="Times New Roman" w:hAnsi="Times New Roman" w:cs="Times New Roman"/>
        </w:rPr>
      </w:pPr>
    </w:p>
    <w:p w14:paraId="1132ACF6">
      <w:pPr>
        <w:pStyle w:val="5"/>
        <w:numPr>
          <w:ilvl w:val="0"/>
          <w:numId w:val="2"/>
        </w:numPr>
        <w:rPr>
          <w:rFonts w:ascii="Times New Roman" w:hAnsi="Times New Roman" w:cs="Times New Roman"/>
        </w:rPr>
      </w:pPr>
      <w:r>
        <w:rPr>
          <w:rFonts w:ascii="Times New Roman" w:hAnsi="Times New Roman" w:cs="Times New Roman"/>
        </w:rPr>
        <w:t>Izvještaj o stanju potraživanja i dospjelih obveza te stanju potencijalnih obveza po osnovi sudskih sporova</w:t>
      </w:r>
    </w:p>
    <w:p w14:paraId="338686B3">
      <w:pPr>
        <w:pStyle w:val="5"/>
        <w:jc w:val="both"/>
        <w:rPr>
          <w:rFonts w:ascii="Times New Roman" w:hAnsi="Times New Roman" w:cs="Times New Roman"/>
        </w:rPr>
      </w:pPr>
      <w:r>
        <w:rPr>
          <w:rFonts w:ascii="Times New Roman" w:hAnsi="Times New Roman" w:cs="Times New Roman"/>
        </w:rPr>
        <w:t>Stanje potraživanja na dan 31.12.2025. godine iznosi 215,16 €, a odnosi se na potraživanje od HZZO-a za refundaciju isplaćenih bolovanja. Stanje dospjelih obveza na dan 31.12.2025.godine: 0,00 €. Vrtić nema potencijalnih obveza po osnovi sudskih sporova.</w:t>
      </w:r>
    </w:p>
    <w:p w14:paraId="4AEA6043">
      <w:pPr>
        <w:pStyle w:val="5"/>
        <w:rPr>
          <w:rFonts w:ascii="Times New Roman" w:hAnsi="Times New Roman" w:cs="Times New Roman"/>
        </w:rPr>
      </w:pPr>
    </w:p>
    <w:p w14:paraId="3B745F68">
      <w:pPr>
        <w:pStyle w:val="5"/>
        <w:numPr>
          <w:ilvl w:val="0"/>
          <w:numId w:val="2"/>
        </w:numPr>
        <w:rPr>
          <w:rFonts w:ascii="Times New Roman" w:hAnsi="Times New Roman" w:cs="Times New Roman"/>
        </w:rPr>
      </w:pPr>
      <w:r>
        <w:rPr>
          <w:rFonts w:ascii="Times New Roman" w:hAnsi="Times New Roman" w:cs="Times New Roman"/>
        </w:rPr>
        <w:t>Izvještaj o danim jamstvima i plaćanjima po protestiranim jamstvima</w:t>
      </w:r>
    </w:p>
    <w:p w14:paraId="360E86B3">
      <w:pPr>
        <w:pStyle w:val="5"/>
        <w:rPr>
          <w:rFonts w:ascii="Times New Roman" w:hAnsi="Times New Roman" w:cs="Times New Roman"/>
        </w:rPr>
      </w:pPr>
      <w:r>
        <w:rPr>
          <w:rFonts w:ascii="Times New Roman" w:hAnsi="Times New Roman" w:cs="Times New Roman"/>
        </w:rPr>
        <w:tab/>
      </w:r>
      <w:r>
        <w:rPr>
          <w:rFonts w:ascii="Times New Roman" w:hAnsi="Times New Roman" w:cs="Times New Roman"/>
        </w:rPr>
        <w:t>U 2025. godini vrtić nije davao jamstva i nije imao plaćanja po protestiranim jamstvima.</w:t>
      </w:r>
    </w:p>
    <w:p w14:paraId="1E577742">
      <w:pPr>
        <w:pStyle w:val="5"/>
        <w:rPr>
          <w:rFonts w:ascii="Times New Roman" w:hAnsi="Times New Roman" w:cs="Times New Roman"/>
        </w:rPr>
      </w:pPr>
    </w:p>
    <w:p w14:paraId="525B934E">
      <w:pPr>
        <w:pStyle w:val="5"/>
        <w:rPr>
          <w:rFonts w:ascii="Times New Roman" w:hAnsi="Times New Roman" w:cs="Times New Roman"/>
        </w:rPr>
      </w:pPr>
    </w:p>
    <w:p w14:paraId="033C42E3">
      <w:pPr>
        <w:pStyle w:val="5"/>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PREDSJEDNICA</w:t>
      </w:r>
    </w:p>
    <w:p w14:paraId="1CF4A3C0">
      <w:pPr>
        <w:pStyle w:val="5"/>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Tajana Sedak Benčić, prof.</w:t>
      </w:r>
    </w:p>
    <w:p w14:paraId="04236963">
      <w:pPr>
        <w:pStyle w:val="5"/>
        <w:rPr>
          <w:rFonts w:hint="default" w:ascii="Times New Roman" w:hAnsi="Times New Roman" w:cs="Times New Roman"/>
          <w:lang w:val="hr-HR"/>
        </w:rPr>
      </w:pPr>
      <w:bookmarkStart w:id="0" w:name="_GoBack"/>
      <w:bookmarkEnd w:id="0"/>
    </w:p>
    <w:p w14:paraId="79311ABD">
      <w:pPr>
        <w:pStyle w:val="5"/>
        <w:rPr>
          <w:rFonts w:hint="default" w:ascii="Times New Roman" w:hAnsi="Times New Roman" w:cs="Times New Roman"/>
          <w:lang w:val="hr-HR"/>
        </w:rPr>
      </w:pPr>
      <w:r>
        <w:rPr>
          <w:rFonts w:hint="default" w:ascii="Times New Roman" w:hAnsi="Times New Roman" w:cs="Times New Roman"/>
          <w:lang w:val="hr-HR"/>
        </w:rPr>
        <w:t xml:space="preserve">DOSTAVITI: </w:t>
      </w:r>
    </w:p>
    <w:p w14:paraId="21B6530C">
      <w:pPr>
        <w:pStyle w:val="5"/>
        <w:numPr>
          <w:ilvl w:val="0"/>
          <w:numId w:val="3"/>
        </w:numPr>
        <w:rPr>
          <w:rFonts w:hint="default" w:ascii="Times New Roman" w:hAnsi="Times New Roman" w:cs="Times New Roman"/>
          <w:lang w:val="hr-HR"/>
        </w:rPr>
      </w:pPr>
      <w:r>
        <w:rPr>
          <w:rFonts w:hint="default" w:ascii="Times New Roman" w:hAnsi="Times New Roman" w:cs="Times New Roman"/>
          <w:lang w:val="hr-HR"/>
        </w:rPr>
        <w:t>Općina Mače</w:t>
      </w:r>
    </w:p>
    <w:p w14:paraId="2F26CDE9">
      <w:pPr>
        <w:pStyle w:val="5"/>
        <w:numPr>
          <w:ilvl w:val="0"/>
          <w:numId w:val="3"/>
        </w:numPr>
        <w:rPr>
          <w:rFonts w:hint="default" w:ascii="Times New Roman" w:hAnsi="Times New Roman" w:cs="Times New Roman"/>
          <w:lang w:val="hr-HR"/>
        </w:rPr>
      </w:pPr>
      <w:r>
        <w:rPr>
          <w:rFonts w:hint="default" w:ascii="Times New Roman" w:hAnsi="Times New Roman" w:cs="Times New Roman"/>
          <w:lang w:val="hr-HR"/>
        </w:rPr>
        <w:t>U spis</w:t>
      </w:r>
    </w:p>
    <w:sectPr>
      <w:pgSz w:w="11906" w:h="16838"/>
      <w:pgMar w:top="85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F1044"/>
    <w:multiLevelType w:val="multilevel"/>
    <w:tmpl w:val="3B4F10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44AD5AC"/>
    <w:multiLevelType w:val="singleLevel"/>
    <w:tmpl w:val="744AD5AC"/>
    <w:lvl w:ilvl="0" w:tentative="0">
      <w:start w:val="1"/>
      <w:numFmt w:val="decimal"/>
      <w:suff w:val="space"/>
      <w:lvlText w:val="%1."/>
      <w:lvlJc w:val="left"/>
    </w:lvl>
  </w:abstractNum>
  <w:abstractNum w:abstractNumId="2">
    <w:nsid w:val="75FC0C7E"/>
    <w:multiLevelType w:val="multilevel"/>
    <w:tmpl w:val="75FC0C7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F"/>
    <w:rsid w:val="00006BAC"/>
    <w:rsid w:val="00045536"/>
    <w:rsid w:val="000509EA"/>
    <w:rsid w:val="00095FA3"/>
    <w:rsid w:val="001023C8"/>
    <w:rsid w:val="00110A8A"/>
    <w:rsid w:val="00147166"/>
    <w:rsid w:val="00157401"/>
    <w:rsid w:val="00182571"/>
    <w:rsid w:val="00185780"/>
    <w:rsid w:val="0019263A"/>
    <w:rsid w:val="001B4E12"/>
    <w:rsid w:val="001D703E"/>
    <w:rsid w:val="002076B4"/>
    <w:rsid w:val="00221542"/>
    <w:rsid w:val="002255CA"/>
    <w:rsid w:val="00227407"/>
    <w:rsid w:val="002766C2"/>
    <w:rsid w:val="0029448B"/>
    <w:rsid w:val="002B34B8"/>
    <w:rsid w:val="002C4C9F"/>
    <w:rsid w:val="002C647C"/>
    <w:rsid w:val="002E5114"/>
    <w:rsid w:val="003015B4"/>
    <w:rsid w:val="00315D32"/>
    <w:rsid w:val="00327D9D"/>
    <w:rsid w:val="0033618D"/>
    <w:rsid w:val="003536A7"/>
    <w:rsid w:val="00377386"/>
    <w:rsid w:val="003C4174"/>
    <w:rsid w:val="003C78ED"/>
    <w:rsid w:val="00432BE0"/>
    <w:rsid w:val="00477341"/>
    <w:rsid w:val="0052642B"/>
    <w:rsid w:val="00545AFD"/>
    <w:rsid w:val="0055157D"/>
    <w:rsid w:val="005A3547"/>
    <w:rsid w:val="005C6D56"/>
    <w:rsid w:val="005D0C7A"/>
    <w:rsid w:val="005D3624"/>
    <w:rsid w:val="005E17E1"/>
    <w:rsid w:val="006153C1"/>
    <w:rsid w:val="00625C6E"/>
    <w:rsid w:val="006265E2"/>
    <w:rsid w:val="0065439C"/>
    <w:rsid w:val="00676322"/>
    <w:rsid w:val="006A5575"/>
    <w:rsid w:val="006B00B4"/>
    <w:rsid w:val="006C3316"/>
    <w:rsid w:val="00710CBC"/>
    <w:rsid w:val="007204DA"/>
    <w:rsid w:val="00761AC6"/>
    <w:rsid w:val="00770A1A"/>
    <w:rsid w:val="007721CA"/>
    <w:rsid w:val="007908FE"/>
    <w:rsid w:val="007F45EF"/>
    <w:rsid w:val="00804911"/>
    <w:rsid w:val="00831431"/>
    <w:rsid w:val="00836918"/>
    <w:rsid w:val="008C5149"/>
    <w:rsid w:val="008D2879"/>
    <w:rsid w:val="008F2BB7"/>
    <w:rsid w:val="00902C95"/>
    <w:rsid w:val="009044DC"/>
    <w:rsid w:val="009146F9"/>
    <w:rsid w:val="00955E16"/>
    <w:rsid w:val="00961209"/>
    <w:rsid w:val="00996E02"/>
    <w:rsid w:val="009A71BF"/>
    <w:rsid w:val="009B38D4"/>
    <w:rsid w:val="00A05A88"/>
    <w:rsid w:val="00A36508"/>
    <w:rsid w:val="00A62294"/>
    <w:rsid w:val="00A75512"/>
    <w:rsid w:val="00AA4FDD"/>
    <w:rsid w:val="00AB6C29"/>
    <w:rsid w:val="00AC3C8C"/>
    <w:rsid w:val="00AE29E5"/>
    <w:rsid w:val="00B13898"/>
    <w:rsid w:val="00B21CF8"/>
    <w:rsid w:val="00B600F3"/>
    <w:rsid w:val="00B73D93"/>
    <w:rsid w:val="00BC4B1D"/>
    <w:rsid w:val="00BC5BA4"/>
    <w:rsid w:val="00BD0C38"/>
    <w:rsid w:val="00BD5F96"/>
    <w:rsid w:val="00BF19ED"/>
    <w:rsid w:val="00C04FCC"/>
    <w:rsid w:val="00C25FAE"/>
    <w:rsid w:val="00C64C6B"/>
    <w:rsid w:val="00C718B8"/>
    <w:rsid w:val="00CF11BB"/>
    <w:rsid w:val="00CF2C5E"/>
    <w:rsid w:val="00CF65CF"/>
    <w:rsid w:val="00D03724"/>
    <w:rsid w:val="00D21500"/>
    <w:rsid w:val="00D27913"/>
    <w:rsid w:val="00D36E9E"/>
    <w:rsid w:val="00D46063"/>
    <w:rsid w:val="00D5786C"/>
    <w:rsid w:val="00D83808"/>
    <w:rsid w:val="00D83BA8"/>
    <w:rsid w:val="00D93CB5"/>
    <w:rsid w:val="00DB121E"/>
    <w:rsid w:val="00DB71F2"/>
    <w:rsid w:val="00DF6A49"/>
    <w:rsid w:val="00DF6F16"/>
    <w:rsid w:val="00E03303"/>
    <w:rsid w:val="00E21963"/>
    <w:rsid w:val="00E246F6"/>
    <w:rsid w:val="00EB6649"/>
    <w:rsid w:val="00EC3D21"/>
    <w:rsid w:val="00EC4921"/>
    <w:rsid w:val="00EC7F16"/>
    <w:rsid w:val="00ED4064"/>
    <w:rsid w:val="00F21808"/>
    <w:rsid w:val="00F35A39"/>
    <w:rsid w:val="00F96006"/>
    <w:rsid w:val="00FC0944"/>
    <w:rsid w:val="00FC6A32"/>
    <w:rsid w:val="00FD3703"/>
    <w:rsid w:val="00FD7971"/>
    <w:rsid w:val="00FE005C"/>
    <w:rsid w:val="00FE7613"/>
    <w:rsid w:val="04E52EB2"/>
    <w:rsid w:val="09131AE5"/>
    <w:rsid w:val="096B314F"/>
    <w:rsid w:val="09957BC4"/>
    <w:rsid w:val="0BD60761"/>
    <w:rsid w:val="103239A1"/>
    <w:rsid w:val="14E6148C"/>
    <w:rsid w:val="15676A5E"/>
    <w:rsid w:val="17B55CB5"/>
    <w:rsid w:val="18F35A39"/>
    <w:rsid w:val="1A106B42"/>
    <w:rsid w:val="1BFF39FC"/>
    <w:rsid w:val="1CFF6E22"/>
    <w:rsid w:val="1DC7686B"/>
    <w:rsid w:val="1FB301B8"/>
    <w:rsid w:val="2B5D329D"/>
    <w:rsid w:val="2D0D1776"/>
    <w:rsid w:val="30483A2A"/>
    <w:rsid w:val="336A6E4E"/>
    <w:rsid w:val="3F584CF9"/>
    <w:rsid w:val="3FE0556E"/>
    <w:rsid w:val="41456A33"/>
    <w:rsid w:val="41516BEE"/>
    <w:rsid w:val="44EC0EA2"/>
    <w:rsid w:val="47927E7C"/>
    <w:rsid w:val="49A64064"/>
    <w:rsid w:val="4C5D54D6"/>
    <w:rsid w:val="50804CA1"/>
    <w:rsid w:val="50FA6B69"/>
    <w:rsid w:val="537517FC"/>
    <w:rsid w:val="5FD76F4D"/>
    <w:rsid w:val="643724FF"/>
    <w:rsid w:val="654B6B88"/>
    <w:rsid w:val="66FB726B"/>
    <w:rsid w:val="68D73062"/>
    <w:rsid w:val="6A4D57CE"/>
    <w:rsid w:val="6B992596"/>
    <w:rsid w:val="6C394848"/>
    <w:rsid w:val="6DD72E46"/>
    <w:rsid w:val="73791F5F"/>
    <w:rsid w:val="75A20327"/>
    <w:rsid w:val="78CD4BD3"/>
    <w:rsid w:val="7E52614D"/>
    <w:rsid w:val="7F60558D"/>
    <w:rsid w:val="7FDD325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6"/>
    <w:semiHidden/>
    <w:unhideWhenUsed/>
    <w:qFormat/>
    <w:uiPriority w:val="99"/>
    <w:pPr>
      <w:spacing w:after="0" w:line="240" w:lineRule="auto"/>
    </w:pPr>
    <w:rPr>
      <w:rFonts w:ascii="Calibri" w:hAnsi="Calibri"/>
      <w:szCs w:val="21"/>
    </w:rPr>
  </w:style>
  <w:style w:type="paragraph" w:styleId="5">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6">
    <w:name w:val="Obični tekst Char"/>
    <w:basedOn w:val="2"/>
    <w:link w:val="4"/>
    <w:semiHidden/>
    <w:qFormat/>
    <w:uiPriority w:val="99"/>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955</Words>
  <Characters>5444</Characters>
  <Lines>45</Lines>
  <Paragraphs>12</Paragraphs>
  <TotalTime>0</TotalTime>
  <ScaleCrop>false</ScaleCrop>
  <LinksUpToDate>false</LinksUpToDate>
  <CharactersWithSpaces>6387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2025-02-18T12:39:00Z</dcterms:created>
  <dc:creator>Stjepan Prekratić</dc:creator>
  <cp:lastModifiedBy>Antonija Furda Mikulčić</cp:lastModifiedBy>
  <dcterms:modified xsi:type="dcterms:W3CDTF">2026-02-24T14:07:39Z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0EFF7969E4044E5E85D55A1EB044929C_12</vt:lpwstr>
  </property>
</Properties>
</file>