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CD7B1">
      <w:pPr>
        <w:pStyle w:val="5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DJEČJI VRTIĆ MAČIĆI</w:t>
      </w:r>
    </w:p>
    <w:p w14:paraId="0A66416C">
      <w:pPr>
        <w:pStyle w:val="5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Mače 84e</w:t>
      </w:r>
    </w:p>
    <w:p w14:paraId="31F29D4F">
      <w:pPr>
        <w:pStyle w:val="5"/>
        <w:rPr>
          <w:rFonts w:hint="default" w:ascii="Times New Roman" w:hAnsi="Times New Roman"/>
        </w:rPr>
      </w:pPr>
      <w:r>
        <w:rPr>
          <w:rFonts w:hint="default" w:ascii="Times New Roman" w:hAnsi="Times New Roman"/>
        </w:rPr>
        <w:t>49251 Mače</w:t>
      </w:r>
    </w:p>
    <w:p w14:paraId="57831C8E">
      <w:pPr>
        <w:pStyle w:val="5"/>
        <w:rPr>
          <w:rFonts w:ascii="Times New Roman" w:hAnsi="Times New Roman" w:cs="Times New Roman"/>
        </w:rPr>
      </w:pPr>
      <w:r>
        <w:rPr>
          <w:rFonts w:hint="default" w:ascii="Times New Roman" w:hAnsi="Times New Roman"/>
        </w:rPr>
        <w:t>Upravno vijeće</w:t>
      </w:r>
    </w:p>
    <w:p w14:paraId="25382D06">
      <w:pPr>
        <w:pStyle w:val="5"/>
        <w:rPr>
          <w:rFonts w:ascii="Times New Roman" w:hAnsi="Times New Roman" w:cs="Times New Roman"/>
        </w:rPr>
      </w:pPr>
    </w:p>
    <w:p w14:paraId="38339254">
      <w:pPr>
        <w:pStyle w:val="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OBRAZLOŽENJE POLUGODIŠNJEG IZVJEŠTAJA  O IZVRŠENJU FINANCIJSKOG PLANA </w:t>
      </w:r>
    </w:p>
    <w:p w14:paraId="10538255">
      <w:pPr>
        <w:pStyle w:val="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1-6/2026. GODINE</w:t>
      </w:r>
    </w:p>
    <w:p w14:paraId="56CA8A01">
      <w:pPr>
        <w:pStyle w:val="5"/>
        <w:jc w:val="center"/>
        <w:rPr>
          <w:rFonts w:ascii="Times New Roman" w:hAnsi="Times New Roman" w:cs="Times New Roman"/>
        </w:rPr>
      </w:pPr>
    </w:p>
    <w:p w14:paraId="5A0D9E9C">
      <w:pPr>
        <w:pStyle w:val="5"/>
        <w:jc w:val="center"/>
        <w:rPr>
          <w:rFonts w:ascii="Times New Roman" w:hAnsi="Times New Roman" w:cs="Times New Roman"/>
        </w:rPr>
      </w:pPr>
    </w:p>
    <w:p w14:paraId="2C1EACC2">
      <w:pPr>
        <w:pStyle w:val="5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OBRAZLOŽENJE OPĆEG DIJELA FINANCIJSKOG PLANA</w:t>
      </w:r>
    </w:p>
    <w:p w14:paraId="4146196A">
      <w:pPr>
        <w:pStyle w:val="5"/>
        <w:rPr>
          <w:rFonts w:ascii="Times New Roman" w:hAnsi="Times New Roman" w:cs="Times New Roman"/>
        </w:rPr>
      </w:pPr>
    </w:p>
    <w:p w14:paraId="79464322">
      <w:pPr>
        <w:pStyle w:val="5"/>
        <w:rPr>
          <w:rFonts w:ascii="Times New Roman" w:hAnsi="Times New Roman" w:cs="Times New Roman"/>
        </w:rPr>
      </w:pPr>
    </w:p>
    <w:p w14:paraId="0E3B567F">
      <w:pPr>
        <w:pStyle w:val="5"/>
        <w:ind w:left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Obrazloženje ostvarenja prihoda i primitaka:</w:t>
      </w:r>
    </w:p>
    <w:p w14:paraId="31C78A74">
      <w:pPr>
        <w:pStyle w:val="5"/>
        <w:rPr>
          <w:rFonts w:ascii="Times New Roman" w:hAnsi="Times New Roman" w:cs="Times New Roman"/>
        </w:rPr>
      </w:pPr>
    </w:p>
    <w:p w14:paraId="5B4DA71E">
      <w:pPr>
        <w:pStyle w:val="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Ukupni prihodi planirani su u iznosu  596.310,00 €, a izvršeni su u iznosu 251.625,91 €, odnosno 42,20 %. Ukupni prihodi su u odnosu na prošlu godinu ostvareni za 9,59 % više, a to je iz razloga što </w:t>
      </w:r>
      <w:r>
        <w:rPr>
          <w:rFonts w:ascii="Times New Roman" w:hAnsi="Times New Roman" w:eastAsia="Times New Roman" w:cs="Times New Roman"/>
          <w:sz w:val="24"/>
          <w:szCs w:val="24"/>
        </w:rPr>
        <w:t>sufinanciranje općine u ekonomskoj cijeni vrtića nije dovoljno za pokriće svih troškova pa općina mora doznačiti još sredstava povrh toga.</w:t>
      </w:r>
    </w:p>
    <w:p w14:paraId="11BB0E5B">
      <w:pPr>
        <w:pStyle w:val="5"/>
        <w:rPr>
          <w:rFonts w:ascii="Times New Roman" w:hAnsi="Times New Roman" w:cs="Times New Roman"/>
        </w:rPr>
      </w:pPr>
    </w:p>
    <w:p w14:paraId="2544F261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Prihodi od pomoći</w:t>
      </w:r>
      <w:r>
        <w:rPr>
          <w:rFonts w:ascii="Times New Roman" w:hAnsi="Times New Roman" w:cs="Times New Roman"/>
        </w:rPr>
        <w:t>, tj. prihodi od nenadležnih proračuna (državni proračun i proračuni drugih gradova i općina) su ostvareni sa 0,00 % i to zato jer u vrtiću nema djece iz drugih općina i gradova</w:t>
      </w:r>
      <w:r>
        <w:rPr>
          <w:rFonts w:hint="default" w:ascii="Times New Roman" w:hAnsi="Times New Roman" w:cs="Times New Roman"/>
          <w:lang w:val="hr-HR"/>
        </w:rPr>
        <w:t>, a od nadležnog ministarstva još nisu primljena sredstva za program predškole i djecu s teškoćama u razvoju</w:t>
      </w:r>
      <w:r>
        <w:rPr>
          <w:rFonts w:ascii="Times New Roman" w:hAnsi="Times New Roman" w:cs="Times New Roman"/>
        </w:rPr>
        <w:t>.</w:t>
      </w:r>
    </w:p>
    <w:p w14:paraId="63C68611">
      <w:pPr>
        <w:pStyle w:val="5"/>
        <w:rPr>
          <w:rFonts w:ascii="Times New Roman" w:hAnsi="Times New Roman" w:cs="Times New Roman"/>
        </w:rPr>
      </w:pPr>
    </w:p>
    <w:p w14:paraId="23F2B73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Prihodi od roditelja</w:t>
      </w:r>
      <w:r>
        <w:rPr>
          <w:rFonts w:ascii="Times New Roman" w:hAnsi="Times New Roman" w:cs="Times New Roman"/>
        </w:rPr>
        <w:t xml:space="preserve"> su ostvareni sa 52.212,60  € od planiranih 105.560,00  ili 49,46 %, što je u skladu s planom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4FF24ED9">
      <w:pPr>
        <w:pStyle w:val="5"/>
        <w:rPr>
          <w:rFonts w:ascii="Times New Roman" w:hAnsi="Times New Roman" w:cs="Times New Roman"/>
        </w:rPr>
      </w:pPr>
    </w:p>
    <w:p w14:paraId="0F2936D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Prihodi od donacija</w:t>
      </w:r>
      <w:r>
        <w:rPr>
          <w:rFonts w:ascii="Times New Roman" w:hAnsi="Times New Roman" w:cs="Times New Roman"/>
        </w:rPr>
        <w:t xml:space="preserve"> su ostvareni iz razloga što je Krapinsko-zagorska županija donirala didaktičku opremu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1CECC053">
      <w:pPr>
        <w:pStyle w:val="5"/>
        <w:rPr>
          <w:rFonts w:ascii="Times New Roman" w:hAnsi="Times New Roman" w:cs="Times New Roman"/>
        </w:rPr>
      </w:pPr>
    </w:p>
    <w:p w14:paraId="2089F5D2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Planirani </w:t>
      </w:r>
      <w:r>
        <w:rPr>
          <w:rFonts w:ascii="Times New Roman" w:hAnsi="Times New Roman" w:cs="Times New Roman"/>
          <w:u w:val="single"/>
        </w:rPr>
        <w:t>prihodi od nadležnog proračuna</w:t>
      </w:r>
      <w:r>
        <w:rPr>
          <w:rFonts w:ascii="Times New Roman" w:hAnsi="Times New Roman" w:cs="Times New Roman"/>
        </w:rPr>
        <w:t xml:space="preserve"> su 488.250,00  €, a izvršeni su u iznosu 199.273,31 €, odnosno 40,81 %. Tu je ostvarenje dosta ispod plana. U odnosu na prošlu godinu to je rast od 18,06 %.</w:t>
      </w:r>
    </w:p>
    <w:p w14:paraId="2210BAE2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Do rasta je došlo zbog toga što sufinanciranje općine u ekonomskoj cijeni vrtića nije dovoljno za pokriće svih troškova pa općina mora doznačiti još sredstava povrh toga.</w:t>
      </w:r>
    </w:p>
    <w:p w14:paraId="75324C94">
      <w:pPr>
        <w:pStyle w:val="5"/>
        <w:rPr>
          <w:rFonts w:ascii="Times New Roman" w:hAnsi="Times New Roman" w:cs="Times New Roman"/>
        </w:rPr>
      </w:pPr>
    </w:p>
    <w:p w14:paraId="1E6B605D">
      <w:pPr>
        <w:pStyle w:val="5"/>
        <w:rPr>
          <w:rFonts w:ascii="Times New Roman" w:hAnsi="Times New Roman" w:cs="Times New Roman"/>
        </w:rPr>
      </w:pPr>
    </w:p>
    <w:p w14:paraId="53E4793E">
      <w:pPr>
        <w:pStyle w:val="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Obrazloženje ostvarenja rashoda i izdataka:</w:t>
      </w:r>
    </w:p>
    <w:p w14:paraId="64391318">
      <w:pPr>
        <w:pStyle w:val="5"/>
        <w:rPr>
          <w:rFonts w:ascii="Times New Roman" w:hAnsi="Times New Roman" w:cs="Times New Roman"/>
        </w:rPr>
      </w:pPr>
    </w:p>
    <w:p w14:paraId="67DC2D8F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Ukupni rashodi ostvareni su sa 265.531,75 €, ili 46,48 %. U odnosu na prošlu godine to je veće za 11,58 %, a razlog je povećanje plaća te rast svih cijena ostalih rashoda.</w:t>
      </w:r>
    </w:p>
    <w:p w14:paraId="72629AC1">
      <w:pPr>
        <w:pStyle w:val="5"/>
        <w:rPr>
          <w:rFonts w:ascii="Times New Roman" w:hAnsi="Times New Roman" w:cs="Times New Roman"/>
        </w:rPr>
      </w:pPr>
    </w:p>
    <w:p w14:paraId="24FFA941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Rashodi za zaposlene</w:t>
      </w:r>
      <w:r>
        <w:rPr>
          <w:rFonts w:ascii="Times New Roman" w:hAnsi="Times New Roman" w:cs="Times New Roman"/>
        </w:rPr>
        <w:t xml:space="preserve"> ostvareni su sa 46,68 % što je malo ispod planiranog. </w:t>
      </w:r>
    </w:p>
    <w:p w14:paraId="3F5574C1">
      <w:pPr>
        <w:pStyle w:val="5"/>
        <w:rPr>
          <w:rFonts w:ascii="Times New Roman" w:hAnsi="Times New Roman" w:cs="Times New Roman"/>
        </w:rPr>
      </w:pPr>
    </w:p>
    <w:p w14:paraId="38FAFA74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Rashodi za materijal i energiju</w:t>
      </w:r>
      <w:r>
        <w:rPr>
          <w:rFonts w:ascii="Times New Roman" w:hAnsi="Times New Roman" w:cs="Times New Roman"/>
        </w:rPr>
        <w:t xml:space="preserve"> su ostvareni sa 42,66 % od plana. Iznad plana su ostvareni rashodi za materijal i sirovine (kuhinja) iz razloga općeg rasta cijena svih materijala-indeks 55,14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B1FF46">
      <w:pPr>
        <w:pStyle w:val="5"/>
        <w:rPr>
          <w:rFonts w:ascii="Times New Roman" w:hAnsi="Times New Roman" w:cs="Times New Roman"/>
        </w:rPr>
      </w:pPr>
    </w:p>
    <w:p w14:paraId="3A2A892E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Rashodi za usluge</w:t>
      </w:r>
      <w:r>
        <w:rPr>
          <w:rFonts w:ascii="Times New Roman" w:hAnsi="Times New Roman" w:cs="Times New Roman"/>
        </w:rPr>
        <w:t xml:space="preserve"> ostvareni su sa 53,32 %. </w:t>
      </w:r>
    </w:p>
    <w:p w14:paraId="3FE06651">
      <w:pPr>
        <w:pStyle w:val="5"/>
        <w:rPr>
          <w:rFonts w:ascii="Times New Roman" w:hAnsi="Times New Roman" w:cs="Times New Roman"/>
        </w:rPr>
      </w:pPr>
    </w:p>
    <w:p w14:paraId="1B796077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Veće prekoračenje u tome imaju Ostale usluge-indeks 93,74 – zbog računa za izradu procjene rizika </w:t>
      </w:r>
      <w:r>
        <w:rPr>
          <w:rFonts w:hint="default" w:ascii="Times New Roman" w:hAnsi="Times New Roman" w:cs="Times New Roman"/>
          <w:lang w:val="hr-HR"/>
        </w:rPr>
        <w:t>kućne vodoopskrbne mreže</w:t>
      </w:r>
      <w:r>
        <w:rPr>
          <w:rFonts w:ascii="Times New Roman" w:hAnsi="Times New Roman" w:cs="Times New Roman"/>
        </w:rPr>
        <w:t xml:space="preserve"> u iznosu 493,75 € što je jednokratni rashod te računa za grafičke usluge Foto studija ''Marta'' u iznosu 400,00 €, zatim Računalne usluge-indeks 72,22 –zbog povećanja cijene održavanja i ažuriranja web stranice vrtića i to sa 495,00 € u 2025. na 650,00 € 2026. g., pa usluge telefona, pošte i prijevoza – indeks 64,34 zbog računa za prijevoz djece na izlet u Krašograd, </w:t>
      </w:r>
      <w:r>
        <w:rPr>
          <w:rFonts w:ascii="Times New Roman" w:hAnsi="Times New Roman" w:cs="Times New Roman"/>
          <w:sz w:val="24"/>
          <w:szCs w:val="24"/>
        </w:rPr>
        <w:t>pa komunalne usluge – indeks 59,71 – zbog rasta cijene odvoza smeća s prosječnih 99,99 € u 2025.g. na 153,75 € u 2026.g.</w:t>
      </w:r>
    </w:p>
    <w:p w14:paraId="19414F00">
      <w:pPr>
        <w:pStyle w:val="5"/>
        <w:rPr>
          <w:rFonts w:ascii="Times New Roman" w:hAnsi="Times New Roman" w:cs="Times New Roman"/>
        </w:rPr>
      </w:pPr>
    </w:p>
    <w:p w14:paraId="1E473426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Naknade troškova osobama izvan radnog odnosa</w:t>
      </w:r>
      <w:r>
        <w:rPr>
          <w:rFonts w:ascii="Times New Roman" w:hAnsi="Times New Roman" w:cs="Times New Roman"/>
        </w:rPr>
        <w:t xml:space="preserve"> – indeks 490,92 – tu su sadržani rashodi za dva ugovora o djelu sa dvije osobe koje su radile na programu obilježavanja 5. godišnjice rada vrtića.</w:t>
      </w:r>
    </w:p>
    <w:p w14:paraId="2485DC27">
      <w:pPr>
        <w:pStyle w:val="5"/>
        <w:rPr>
          <w:rFonts w:ascii="Times New Roman" w:hAnsi="Times New Roman" w:cs="Times New Roman"/>
        </w:rPr>
      </w:pPr>
    </w:p>
    <w:p w14:paraId="0EBD51D5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Rashodi za nabavu nefinancijske imovine</w:t>
      </w:r>
      <w:r>
        <w:rPr>
          <w:rFonts w:ascii="Times New Roman" w:hAnsi="Times New Roman" w:cs="Times New Roman"/>
        </w:rPr>
        <w:t xml:space="preserve"> – nije ništa nabavljano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7A9DEC">
      <w:pPr>
        <w:pStyle w:val="5"/>
        <w:rPr>
          <w:rFonts w:hint="default" w:ascii="Times New Roman" w:hAnsi="Times New Roman" w:cs="Times New Roman"/>
          <w:lang w:val="hr-HR"/>
        </w:rPr>
      </w:pPr>
    </w:p>
    <w:p w14:paraId="5F8D4E18">
      <w:pPr>
        <w:pStyle w:val="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Obrazloženje prenesenog manjka odnosno viška financijskog plana:</w:t>
      </w:r>
    </w:p>
    <w:p w14:paraId="1DCA44DC">
      <w:pPr>
        <w:pStyle w:val="5"/>
        <w:rPr>
          <w:rFonts w:ascii="Times New Roman" w:hAnsi="Times New Roman" w:cs="Times New Roman"/>
        </w:rPr>
      </w:pPr>
    </w:p>
    <w:p w14:paraId="49F6D1D2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Preneseni manjak iz prethodne godine iznosi  35.989,90 €.</w:t>
      </w:r>
    </w:p>
    <w:p w14:paraId="1D1E0B46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razdoblje 1-6/2026</w:t>
      </w:r>
      <w:r>
        <w:rPr>
          <w:rFonts w:hint="default" w:ascii="Times New Roman" w:hAnsi="Times New Roman" w:cs="Times New Roman"/>
          <w:lang w:val="hr-HR"/>
        </w:rPr>
        <w:t>.</w:t>
      </w:r>
      <w:r>
        <w:rPr>
          <w:rFonts w:ascii="Times New Roman" w:hAnsi="Times New Roman" w:cs="Times New Roman"/>
        </w:rPr>
        <w:t xml:space="preserve"> godin</w:t>
      </w:r>
      <w:r>
        <w:rPr>
          <w:rFonts w:hint="default" w:ascii="Times New Roman" w:hAnsi="Times New Roman" w:cs="Times New Roman"/>
          <w:lang w:val="hr-HR"/>
        </w:rPr>
        <w:t>e</w:t>
      </w:r>
      <w:r>
        <w:rPr>
          <w:rFonts w:ascii="Times New Roman" w:hAnsi="Times New Roman" w:cs="Times New Roman"/>
        </w:rPr>
        <w:t xml:space="preserve"> ostvaren je manjak prihoda od 13.905,84 €.</w:t>
      </w:r>
    </w:p>
    <w:p w14:paraId="3B5F16C9">
      <w:pPr>
        <w:pStyle w:val="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manjka došlo je zbog činjenice da se rashodi proračuna vode prema načelu primljenih računa i obračuna, tako da je u rashode uključena plaća za 6/2026 i  računi do 30.06.2026. </w:t>
      </w:r>
      <w:r>
        <w:rPr>
          <w:rFonts w:hint="default" w:ascii="Times New Roman" w:hAnsi="Times New Roman" w:cs="Times New Roman"/>
          <w:lang w:val="hr-HR"/>
        </w:rPr>
        <w:t>godine</w:t>
      </w:r>
      <w:r>
        <w:rPr>
          <w:rFonts w:ascii="Times New Roman" w:hAnsi="Times New Roman" w:cs="Times New Roman"/>
        </w:rPr>
        <w:t>, a prihodi se evidentiraju tek kada su naplaćeni tj. vode se prema načelu blagajne. Općina je za plaće 6/</w:t>
      </w:r>
      <w:r>
        <w:rPr>
          <w:rFonts w:hint="default" w:ascii="Times New Roman" w:hAnsi="Times New Roman" w:cs="Times New Roman"/>
          <w:lang w:val="hr-HR"/>
        </w:rPr>
        <w:t>20</w:t>
      </w:r>
      <w:r>
        <w:rPr>
          <w:rFonts w:ascii="Times New Roman" w:hAnsi="Times New Roman" w:cs="Times New Roman"/>
        </w:rPr>
        <w:t>26 i za sve troškove doznačila sredstva u srpnju 2026. godine.</w:t>
      </w:r>
    </w:p>
    <w:p w14:paraId="1906AF1C">
      <w:pPr>
        <w:pStyle w:val="5"/>
        <w:rPr>
          <w:rFonts w:ascii="Times New Roman" w:hAnsi="Times New Roman" w:cs="Times New Roman"/>
        </w:rPr>
      </w:pPr>
    </w:p>
    <w:p w14:paraId="532993FF">
      <w:pPr>
        <w:pStyle w:val="5"/>
        <w:rPr>
          <w:rFonts w:ascii="Times New Roman" w:hAnsi="Times New Roman" w:cs="Times New Roman"/>
        </w:rPr>
      </w:pPr>
    </w:p>
    <w:p w14:paraId="2FF67F6D">
      <w:pPr>
        <w:pStyle w:val="5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POSEBNI IZVJEŠTAJ </w:t>
      </w:r>
    </w:p>
    <w:p w14:paraId="44E10703">
      <w:pPr>
        <w:pStyle w:val="5"/>
        <w:rPr>
          <w:rFonts w:ascii="Times New Roman" w:hAnsi="Times New Roman" w:cs="Times New Roman"/>
        </w:rPr>
      </w:pPr>
    </w:p>
    <w:p w14:paraId="15FD6FCC">
      <w:pPr>
        <w:pStyle w:val="5"/>
        <w:rPr>
          <w:rFonts w:ascii="Times New Roman" w:hAnsi="Times New Roman" w:cs="Times New Roman"/>
        </w:rPr>
      </w:pPr>
    </w:p>
    <w:p w14:paraId="60359DA5">
      <w:pPr>
        <w:pStyle w:val="5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Izvještaj o zaduživanju na domaćem i stranom tržištu novca i kapitala</w:t>
      </w:r>
    </w:p>
    <w:p w14:paraId="448386AC">
      <w:pPr>
        <w:pStyle w:val="5"/>
        <w:rPr>
          <w:rFonts w:ascii="Times New Roman" w:hAnsi="Times New Roman" w:cs="Times New Roman"/>
        </w:rPr>
      </w:pPr>
    </w:p>
    <w:p w14:paraId="4EC10A2B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Vrtić se nije zaduživao na domaćem i stranom tržištu novca i kapitala u razdoblju 1-6/2026. godini.</w:t>
      </w:r>
    </w:p>
    <w:p w14:paraId="6A5E8B25">
      <w:pPr>
        <w:pStyle w:val="5"/>
        <w:rPr>
          <w:rFonts w:ascii="Times New Roman" w:hAnsi="Times New Roman" w:cs="Times New Roman"/>
        </w:rPr>
      </w:pPr>
    </w:p>
    <w:p w14:paraId="260313C8">
      <w:pPr>
        <w:pStyle w:val="5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Izvještaj o danim jamstvima i plaćanjima po protestiranim jamstvima</w:t>
      </w:r>
    </w:p>
    <w:p w14:paraId="49DEDE55">
      <w:pPr>
        <w:pStyle w:val="5"/>
        <w:rPr>
          <w:rFonts w:ascii="Times New Roman" w:hAnsi="Times New Roman" w:cs="Times New Roman"/>
        </w:rPr>
      </w:pPr>
    </w:p>
    <w:p w14:paraId="1EEAA748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Vrtić nije davao jamstva i nije imao plaćanja po protestiranim jamstvima u razdoblju 1-6/</w:t>
      </w:r>
      <w:r>
        <w:rPr>
          <w:rFonts w:hint="default" w:ascii="Times New Roman" w:hAnsi="Times New Roman" w:cs="Times New Roman"/>
          <w:lang w:val="hr-HR"/>
        </w:rPr>
        <w:t>20</w:t>
      </w:r>
      <w:r>
        <w:rPr>
          <w:rFonts w:ascii="Times New Roman" w:hAnsi="Times New Roman" w:cs="Times New Roman"/>
        </w:rPr>
        <w:t>26. godine.</w:t>
      </w:r>
    </w:p>
    <w:p w14:paraId="208BD0E3">
      <w:pPr>
        <w:pStyle w:val="5"/>
        <w:rPr>
          <w:rFonts w:ascii="Times New Roman" w:hAnsi="Times New Roman" w:cs="Times New Roman"/>
        </w:rPr>
      </w:pPr>
    </w:p>
    <w:p w14:paraId="0542B4E0">
      <w:pPr>
        <w:pStyle w:val="5"/>
        <w:rPr>
          <w:rFonts w:ascii="Times New Roman" w:hAnsi="Times New Roman" w:cs="Times New Roman"/>
        </w:rPr>
      </w:pPr>
    </w:p>
    <w:p w14:paraId="439ABD86"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676652A">
      <w:pPr>
        <w:pStyle w:val="5"/>
        <w:ind w:left="5664" w:leftChars="0" w:firstLine="816" w:firstLineChars="371"/>
        <w:rPr>
          <w:rFonts w:hint="default" w:ascii="Times New Roman" w:hAnsi="Times New Roman" w:cs="Times New Roman"/>
          <w:lang w:val="hr-HR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hr-HR"/>
        </w:rPr>
        <w:t>PREDSJEDNICA</w:t>
      </w:r>
    </w:p>
    <w:p w14:paraId="79852DA3">
      <w:pPr>
        <w:pStyle w:val="5"/>
        <w:ind w:left="4248" w:leftChars="0" w:firstLine="1806" w:firstLineChars="821"/>
        <w:rPr>
          <w:rFonts w:hint="default" w:ascii="Times New Roman" w:hAnsi="Times New Roman" w:cs="Times New Roman"/>
          <w:lang w:val="hr-HR"/>
        </w:rPr>
      </w:pPr>
      <w:r>
        <w:rPr>
          <w:rFonts w:hint="default" w:ascii="Times New Roman" w:hAnsi="Times New Roman" w:cs="Times New Roman"/>
          <w:lang w:val="hr-HR"/>
        </w:rPr>
        <w:t>Tajana Sedak Benčić, prof.</w:t>
      </w:r>
    </w:p>
    <w:sectPr>
      <w:pgSz w:w="11906" w:h="16838"/>
      <w:pgMar w:top="85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4F1044"/>
    <w:multiLevelType w:val="multilevel"/>
    <w:tmpl w:val="3B4F104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FC0C7E"/>
    <w:multiLevelType w:val="multilevel"/>
    <w:tmpl w:val="75FC0C7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CF"/>
    <w:rsid w:val="00045536"/>
    <w:rsid w:val="000509EA"/>
    <w:rsid w:val="0016225C"/>
    <w:rsid w:val="00182571"/>
    <w:rsid w:val="001D703E"/>
    <w:rsid w:val="002076B4"/>
    <w:rsid w:val="002255CA"/>
    <w:rsid w:val="0027099F"/>
    <w:rsid w:val="002A1E8A"/>
    <w:rsid w:val="002C4C9F"/>
    <w:rsid w:val="00327D9D"/>
    <w:rsid w:val="00410652"/>
    <w:rsid w:val="00477341"/>
    <w:rsid w:val="005041E3"/>
    <w:rsid w:val="00545AFD"/>
    <w:rsid w:val="0055157D"/>
    <w:rsid w:val="005A3547"/>
    <w:rsid w:val="005D0C7A"/>
    <w:rsid w:val="005D0FAB"/>
    <w:rsid w:val="006265E2"/>
    <w:rsid w:val="0065439C"/>
    <w:rsid w:val="00676322"/>
    <w:rsid w:val="006B00B4"/>
    <w:rsid w:val="006C3316"/>
    <w:rsid w:val="006D63AF"/>
    <w:rsid w:val="007111B5"/>
    <w:rsid w:val="007204DA"/>
    <w:rsid w:val="00761AC6"/>
    <w:rsid w:val="00763DEA"/>
    <w:rsid w:val="007721CA"/>
    <w:rsid w:val="007908FE"/>
    <w:rsid w:val="007A357C"/>
    <w:rsid w:val="007F45EF"/>
    <w:rsid w:val="00825616"/>
    <w:rsid w:val="00831431"/>
    <w:rsid w:val="00871E7A"/>
    <w:rsid w:val="00893517"/>
    <w:rsid w:val="008D2879"/>
    <w:rsid w:val="008F2BB7"/>
    <w:rsid w:val="00902C95"/>
    <w:rsid w:val="009146F9"/>
    <w:rsid w:val="009453A2"/>
    <w:rsid w:val="009D3E7B"/>
    <w:rsid w:val="00A36508"/>
    <w:rsid w:val="00A62294"/>
    <w:rsid w:val="00A820E9"/>
    <w:rsid w:val="00AC3C8C"/>
    <w:rsid w:val="00B13898"/>
    <w:rsid w:val="00B23EB2"/>
    <w:rsid w:val="00B73D93"/>
    <w:rsid w:val="00BC4B1D"/>
    <w:rsid w:val="00BD0C38"/>
    <w:rsid w:val="00BD5F96"/>
    <w:rsid w:val="00C04FCC"/>
    <w:rsid w:val="00CF11BB"/>
    <w:rsid w:val="00CF65CF"/>
    <w:rsid w:val="00D03724"/>
    <w:rsid w:val="00D05A8C"/>
    <w:rsid w:val="00D1722B"/>
    <w:rsid w:val="00D27913"/>
    <w:rsid w:val="00D46063"/>
    <w:rsid w:val="00D93CB5"/>
    <w:rsid w:val="00DB121E"/>
    <w:rsid w:val="00DB71F2"/>
    <w:rsid w:val="00DF6A49"/>
    <w:rsid w:val="00E2364A"/>
    <w:rsid w:val="00E84153"/>
    <w:rsid w:val="00EB6649"/>
    <w:rsid w:val="00EC4921"/>
    <w:rsid w:val="00ED4064"/>
    <w:rsid w:val="00F21808"/>
    <w:rsid w:val="00F35A39"/>
    <w:rsid w:val="00FC0944"/>
    <w:rsid w:val="00FC3634"/>
    <w:rsid w:val="00FC6A32"/>
    <w:rsid w:val="00FD7971"/>
    <w:rsid w:val="00FE6AB4"/>
    <w:rsid w:val="00FE7613"/>
    <w:rsid w:val="24514145"/>
    <w:rsid w:val="2A044262"/>
    <w:rsid w:val="3336169A"/>
    <w:rsid w:val="386C6EF9"/>
    <w:rsid w:val="49C352CA"/>
    <w:rsid w:val="6802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hr-HR" w:eastAsia="hr-H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6"/>
    <w:semiHidden/>
    <w:unhideWhenUsed/>
    <w:uiPriority w:val="99"/>
    <w:pPr>
      <w:spacing w:after="0" w:line="240" w:lineRule="auto"/>
    </w:pPr>
    <w:rPr>
      <w:rFonts w:ascii="Calibri" w:hAnsi="Calibri"/>
      <w:szCs w:val="21"/>
    </w:rPr>
  </w:style>
  <w:style w:type="paragraph" w:styleId="5">
    <w:name w:val="No Spacing"/>
    <w:link w:val="7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6">
    <w:name w:val="Obični tekst Char"/>
    <w:basedOn w:val="2"/>
    <w:link w:val="4"/>
    <w:semiHidden/>
    <w:qFormat/>
    <w:uiPriority w:val="99"/>
    <w:rPr>
      <w:rFonts w:ascii="Calibri" w:hAnsi="Calibri"/>
      <w:szCs w:val="21"/>
    </w:rPr>
  </w:style>
  <w:style w:type="character" w:customStyle="1" w:styleId="7">
    <w:name w:val="Bez proreda Char"/>
    <w:basedOn w:val="2"/>
    <w:link w:val="5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555</Words>
  <Characters>3167</Characters>
  <Lines>26</Lines>
  <Paragraphs>7</Paragraphs>
  <TotalTime>31</TotalTime>
  <ScaleCrop>false</ScaleCrop>
  <LinksUpToDate>false</LinksUpToDate>
  <CharactersWithSpaces>3715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2026-07-23T12:03:00Z</dcterms:created>
  <dc:creator>Stjepan Prekratić</dc:creator>
  <cp:lastModifiedBy>Antonija Furda Mikulčić</cp:lastModifiedBy>
  <dcterms:modified xsi:type="dcterms:W3CDTF">2026-07-27T07:24:25Z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F72E10CA68874A1C8905767AF7E4639E_12</vt:lpwstr>
  </property>
</Properties>
</file>